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445281-2025-03330</w:t>
      </w:r>
    </w:p>
    <w:p>
      <w:pPr>
        <w:pStyle w:val="null3"/>
        <w:jc w:val="center"/>
        <w:outlineLvl w:val="3"/>
      </w:pPr>
      <w:r>
        <w:rPr>
          <w:sz w:val="24"/>
          <w:b/>
        </w:rPr>
        <w:t>采购项目编号：</w:t>
      </w:r>
      <w:r>
        <w:rPr>
          <w:sz w:val="24"/>
          <w:b/>
        </w:rPr>
        <w:t>BSZBDL202507001GD</w:t>
      </w:r>
    </w:p>
    <w:p>
      <w:pPr>
        <w:pStyle w:val="null3"/>
        <w:jc w:val="center"/>
        <w:outlineLvl w:val="3"/>
      </w:pPr>
      <w:r>
        <w:rPr>
          <w:sz w:val="24"/>
          <w:b/>
        </w:rPr>
        <w:t>项目名称：</w:t>
      </w:r>
      <w:r>
        <w:rPr>
          <w:sz w:val="24"/>
          <w:b/>
        </w:rPr>
        <w:t>普宁市城区黑臭水体治理、练江一期项目整改、练江二期项目收尾等咨询服务（2025年度）</w:t>
      </w:r>
    </w:p>
    <w:p>
      <w:pPr>
        <w:pStyle w:val="null3"/>
        <w:jc w:val="center"/>
        <w:outlineLvl w:val="3"/>
      </w:pPr>
      <w:r>
        <w:rPr>
          <w:sz w:val="24"/>
          <w:b/>
        </w:rPr>
        <w:t>采购人：</w:t>
      </w:r>
      <w:r>
        <w:rPr>
          <w:sz w:val="24"/>
          <w:b/>
        </w:rPr>
        <w:t>普宁市住房和城乡建设局</w:t>
      </w:r>
    </w:p>
    <w:p>
      <w:pPr>
        <w:pStyle w:val="null3"/>
        <w:jc w:val="center"/>
        <w:outlineLvl w:val="3"/>
      </w:pPr>
      <w:r>
        <w:rPr>
          <w:sz w:val="24"/>
          <w:b/>
        </w:rPr>
        <w:t>采购代理机构：</w:t>
      </w:r>
      <w:r>
        <w:rPr>
          <w:sz w:val="24"/>
          <w:b/>
        </w:rPr>
        <w:t>广东邦晟招标代理有限公司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广东邦晟招标代理有限公司</w:t>
      </w:r>
      <w:r>
        <w:rPr/>
        <w:t>受</w:t>
      </w:r>
      <w:r>
        <w:rPr/>
        <w:t>普宁市住房和城乡建设局</w:t>
      </w:r>
      <w:r>
        <w:rPr/>
        <w:t>的委托，采用</w:t>
      </w:r>
      <w:r>
        <w:rPr/>
        <w:t>公开招标</w:t>
      </w:r>
      <w:r>
        <w:rPr/>
        <w:t>方式组织采购</w:t>
      </w:r>
      <w:r>
        <w:rPr/>
        <w:t>普宁市城区黑臭水体治理、练江一期项目整改、练江二期项目收尾等咨询服务（2025年度）</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普宁市城区黑臭水体治理、练江一期项目整改、练江二期项目收尾等咨询服务（2025年度）</w:t>
      </w:r>
    </w:p>
    <w:p>
      <w:pPr>
        <w:pStyle w:val="null3"/>
        <w:ind w:firstLine="480"/>
      </w:pPr>
      <w:r>
        <w:rPr/>
        <w:t>采购计划编号：</w:t>
      </w:r>
      <w:r>
        <w:rPr/>
        <w:t>445281-2025-03330</w:t>
      </w:r>
    </w:p>
    <w:p>
      <w:pPr>
        <w:pStyle w:val="null3"/>
        <w:ind w:firstLine="480"/>
      </w:pPr>
      <w:r>
        <w:rPr/>
        <w:t>采购项目编号：</w:t>
      </w:r>
      <w:r>
        <w:rPr/>
        <w:t>BSZBDL202507001GD</w:t>
      </w:r>
    </w:p>
    <w:p>
      <w:pPr>
        <w:pStyle w:val="null3"/>
        <w:ind w:firstLine="480"/>
      </w:pPr>
      <w:r>
        <w:rPr/>
        <w:t>采购方式：</w:t>
      </w:r>
      <w:r>
        <w:rPr/>
        <w:t>公开招标</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采购包1(普宁市城区黑臭水体治理、练江一期项目整改、练江二期项目收尾等咨询服务（2025年度）):</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其他生态环境保护和治理服务</w:t>
            </w:r>
          </w:p>
        </w:tc>
        <w:tc>
          <w:tcPr>
            <w:tcW w:type="dxa" w:w="2052"/>
          </w:tcPr>
          <w:p>
            <w:pPr>
              <w:pStyle w:val="null3"/>
            </w:pPr>
            <w:r>
              <w:rPr/>
              <w:t>普宁市城区黑臭水体治理、练江一期项目整改、练江二期项目收尾等咨询服务（2025年度）</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合同履行期限：服务期限为项目中标之日起至2026年3月31日止。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投标时提供《资格承诺函》，可参照公告附件格式</w:t>
      </w:r>
    </w:p>
    <w:p>
      <w:pPr>
        <w:pStyle w:val="null3"/>
      </w:pPr>
      <w:r>
        <w:rPr/>
        <w:t>3）具有良好的商业信誉和健全的财务会计制度：供应商必须具有良好的商业信誉和健全的财务会计制度（提供2023年度或2024年度财务状况报告（或报表）复印件或基本开户行出具的资信证明），投标人为新成立的，提供成立至今的月或季度财务报告（或报表）复印件；或投标时提供《资格承诺函》，可参照公告附件格式</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投标时提供《资格承诺函》，可参照公告附件格式</w:t>
      </w:r>
    </w:p>
    <w:p>
      <w:pPr>
        <w:pStyle w:val="null3"/>
        <w:outlineLvl w:val="3"/>
      </w:pPr>
      <w:r>
        <w:rPr>
          <w:sz w:val="24"/>
          <w:b/>
        </w:rPr>
        <w:t>2.落实政府采购政策需满足的资格要求：</w:t>
      </w:r>
    </w:p>
    <w:p>
      <w:pPr>
        <w:pStyle w:val="null3"/>
        <w:jc w:val="left"/>
      </w:pPr>
      <w:r>
        <w:rPr/>
        <w:t>采购包1（普宁市城区黑臭水体治理、练江一期项目整改、练江二期项目收尾等咨询服务（2025年度））：</w:t>
      </w:r>
      <w:r>
        <w:rPr/>
        <w:t>本项目不属于专门面向中小企业采购的项目。</w:t>
      </w:r>
    </w:p>
    <w:p>
      <w:pPr>
        <w:pStyle w:val="null3"/>
        <w:outlineLvl w:val="3"/>
      </w:pPr>
      <w:r>
        <w:rPr>
          <w:sz w:val="24"/>
          <w:b/>
        </w:rPr>
        <w:t>3.本项目特定的资格要求：</w:t>
      </w:r>
    </w:p>
    <w:p>
      <w:pPr>
        <w:pStyle w:val="null3"/>
      </w:pPr>
      <w:r>
        <w:rPr/>
        <w:t>采购包1（普宁市城区黑臭水体治理、练江一期项目整改、练江二期项目收尾等咨询服务（2025年度））：</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普宁市住房和城乡建设局</w:t>
      </w:r>
    </w:p>
    <w:p>
      <w:pPr>
        <w:pStyle w:val="null3"/>
        <w:ind w:firstLine="480"/>
      </w:pPr>
      <w:r>
        <w:rPr/>
        <w:t xml:space="preserve"> 地址：</w:t>
      </w:r>
      <w:r>
        <w:rPr/>
        <w:t>广东省普宁市流沙大道西与建设街交叉口西北角</w:t>
      </w:r>
    </w:p>
    <w:p>
      <w:pPr>
        <w:pStyle w:val="null3"/>
        <w:ind w:firstLine="480"/>
      </w:pPr>
      <w:r>
        <w:rPr/>
        <w:t xml:space="preserve"> 联系方式：</w:t>
      </w:r>
      <w:r>
        <w:rPr/>
        <w:t>0663-2226553</w:t>
      </w:r>
    </w:p>
    <w:p>
      <w:pPr>
        <w:pStyle w:val="null3"/>
        <w:outlineLvl w:val="3"/>
      </w:pPr>
      <w:r>
        <w:rPr>
          <w:sz w:val="24"/>
          <w:b/>
        </w:rPr>
        <w:t xml:space="preserve"> 2.采购代理机构信息</w:t>
      </w:r>
    </w:p>
    <w:p>
      <w:pPr>
        <w:pStyle w:val="null3"/>
        <w:ind w:firstLine="480"/>
      </w:pPr>
      <w:r>
        <w:rPr/>
        <w:t xml:space="preserve"> 名称：</w:t>
      </w:r>
      <w:r>
        <w:rPr/>
        <w:t>广东邦晟招标代理有限公司</w:t>
      </w:r>
    </w:p>
    <w:p>
      <w:pPr>
        <w:pStyle w:val="null3"/>
        <w:ind w:firstLine="480"/>
      </w:pPr>
      <w:r>
        <w:rPr/>
        <w:t xml:space="preserve"> 地址：</w:t>
      </w:r>
      <w:r>
        <w:rPr/>
        <w:t>广东省揭阳市普宁市流沙北街道南园村瑞安里东片4巷3号第4层</w:t>
      </w:r>
    </w:p>
    <w:p>
      <w:pPr>
        <w:pStyle w:val="null3"/>
        <w:ind w:firstLine="480"/>
      </w:pPr>
      <w:r>
        <w:rPr/>
        <w:t xml:space="preserve"> 联系方式：</w:t>
      </w:r>
      <w:r>
        <w:rPr/>
        <w:t>0663-2119336</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0663-2119336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广东邦晟招标代理有限公司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项目编号：BSZBDL202507001GD</w:t>
      </w:r>
    </w:p>
    <w:p>
      <w:pPr>
        <w:pStyle w:val="null3"/>
      </w:pPr>
      <w:r>
        <w:rPr/>
        <w:t>项目名称：普宁市城区黑臭水体治理、练江一期项目整改、练江二期项目收尾等咨询服务（2025年度）</w:t>
      </w:r>
    </w:p>
    <w:p>
      <w:pPr>
        <w:pStyle w:val="null3"/>
      </w:pPr>
      <w:r>
        <w:rPr/>
        <w:t>预算金额：1200000.00元</w:t>
      </w:r>
    </w:p>
    <w:p>
      <w:pPr>
        <w:pStyle w:val="null3"/>
      </w:pPr>
      <w:r>
        <w:rPr/>
        <w:t>最高限价（如有）：1200000.00元</w:t>
      </w:r>
    </w:p>
    <w:p>
      <w:pPr>
        <w:pStyle w:val="null3"/>
      </w:pPr>
      <w:r>
        <w:rPr/>
        <w:t>采购需求：（包括但不限于标的的名称、数量、简要技术需求或服务要求等）</w:t>
      </w:r>
    </w:p>
    <w:p>
      <w:pPr>
        <w:pStyle w:val="null3"/>
      </w:pPr>
      <w:r>
        <w:rPr/>
        <w:t>1、标的名称：普宁市城区黑臭水体治理、练江一期项目整改、练江二期项目收尾等咨询服务（2025年度）</w:t>
      </w:r>
    </w:p>
    <w:p>
      <w:pPr>
        <w:pStyle w:val="null3"/>
      </w:pPr>
      <w:r>
        <w:rPr/>
        <w:t>2、标的数量：1年</w:t>
      </w:r>
      <w:r>
        <w:rPr>
          <w:b/>
        </w:rPr>
        <w:t xml:space="preserve"> </w:t>
      </w:r>
    </w:p>
    <w:p>
      <w:pPr>
        <w:pStyle w:val="null3"/>
      </w:pPr>
      <w:r>
        <w:rPr/>
        <w:t>3、简要技术需求或服务要求：</w:t>
      </w:r>
    </w:p>
    <w:tbl>
      <w:tblPr>
        <w:tblW w:w="0" w:type="auto"/>
        <w:tblBorders>
          <w:top w:val="single"/>
          <w:left w:val="single"/>
          <w:bottom w:val="single"/>
          <w:right w:val="single"/>
          <w:insideH w:val="single"/>
          <w:insideV w:val="single"/>
        </w:tblBorders>
      </w:tblPr>
      <w:tblGrid>
        <w:gridCol w:w="1500"/>
        <w:gridCol w:w="1500"/>
        <w:gridCol w:w="1500"/>
        <w:gridCol w:w="1500"/>
        <w:gridCol w:w="1500"/>
      </w:tblGrid>
      <w:tr>
        <w:tc>
          <w:tcPr>
            <w:tcW w:type="dxa" w:w="1500"/>
          </w:tcPr>
          <w:p>
            <w:pPr>
              <w:pStyle w:val="null3"/>
            </w:pPr>
            <w:r>
              <w:rPr/>
              <w:t>序号</w:t>
            </w:r>
          </w:p>
        </w:tc>
        <w:tc>
          <w:tcPr>
            <w:tcW w:type="dxa" w:w="1500"/>
          </w:tcPr>
          <w:p>
            <w:pPr>
              <w:pStyle w:val="null3"/>
            </w:pPr>
            <w:r>
              <w:rPr/>
              <w:t>项目内容</w:t>
            </w:r>
          </w:p>
        </w:tc>
        <w:tc>
          <w:tcPr>
            <w:tcW w:type="dxa" w:w="1500"/>
          </w:tcPr>
          <w:p>
            <w:pPr>
              <w:pStyle w:val="null3"/>
            </w:pPr>
            <w:r>
              <w:rPr/>
              <w:t>数量</w:t>
            </w:r>
          </w:p>
        </w:tc>
        <w:tc>
          <w:tcPr>
            <w:tcW w:type="dxa" w:w="1500"/>
          </w:tcPr>
          <w:p>
            <w:pPr>
              <w:pStyle w:val="null3"/>
            </w:pPr>
            <w:r>
              <w:rPr/>
              <w:t>最高限价</w:t>
            </w:r>
          </w:p>
          <w:p>
            <w:pPr>
              <w:pStyle w:val="null3"/>
            </w:pPr>
            <w:r>
              <w:rPr/>
              <w:t>（人民币/元）</w:t>
            </w:r>
          </w:p>
        </w:tc>
        <w:tc>
          <w:tcPr>
            <w:tcW w:type="dxa" w:w="1500"/>
          </w:tcPr>
          <w:p>
            <w:pPr>
              <w:pStyle w:val="null3"/>
            </w:pPr>
            <w:r>
              <w:rPr/>
              <w:t>合同履行期限</w:t>
            </w:r>
          </w:p>
        </w:tc>
      </w:tr>
      <w:tr>
        <w:tc>
          <w:tcPr>
            <w:tcW w:type="dxa" w:w="1500"/>
          </w:tcPr>
          <w:p>
            <w:pPr>
              <w:pStyle w:val="null3"/>
            </w:pPr>
            <w:r>
              <w:rPr/>
              <w:t>1</w:t>
            </w:r>
          </w:p>
        </w:tc>
        <w:tc>
          <w:tcPr>
            <w:tcW w:type="dxa" w:w="1500"/>
          </w:tcPr>
          <w:p>
            <w:pPr>
              <w:pStyle w:val="null3"/>
            </w:pPr>
            <w:r>
              <w:rPr/>
              <w:t>普宁市城区黑臭水体治理、练江一期项目整改、练江二期项目收尾等咨询服务（2025年度）</w:t>
            </w:r>
          </w:p>
        </w:tc>
        <w:tc>
          <w:tcPr>
            <w:tcW w:type="dxa" w:w="1500"/>
          </w:tcPr>
          <w:p>
            <w:pPr>
              <w:pStyle w:val="null3"/>
            </w:pPr>
            <w:r>
              <w:rPr/>
              <w:t>1项</w:t>
            </w:r>
          </w:p>
        </w:tc>
        <w:tc>
          <w:tcPr>
            <w:tcW w:type="dxa" w:w="1500"/>
          </w:tcPr>
          <w:p>
            <w:pPr>
              <w:pStyle w:val="null3"/>
            </w:pPr>
            <w:r>
              <w:rPr/>
              <w:t>1200000.00</w:t>
            </w:r>
          </w:p>
        </w:tc>
        <w:tc>
          <w:tcPr>
            <w:tcW w:type="dxa" w:w="1500"/>
          </w:tcPr>
          <w:p>
            <w:pPr>
              <w:pStyle w:val="null3"/>
            </w:pPr>
            <w:r>
              <w:rPr/>
              <w:t>服务期限为项目中标之日起至2026年3月31日止</w:t>
            </w:r>
          </w:p>
        </w:tc>
      </w:tr>
    </w:tbl>
    <w:p>
      <w:pPr>
        <w:pStyle w:val="null3"/>
      </w:pPr>
      <w:r>
        <w:rPr/>
        <w:t>（项目无分包情况下，投标人必须对项目进行整体投标，不允许仅对其中部分内容进行投标；项目有分包情况下，投标人可以对一个子包投标，也可以对多个子包投标。但子包是投标的最小单位，投标人应对同一子包的全部货物和服务投标。）</w:t>
      </w:r>
    </w:p>
    <w:p>
      <w:pPr>
        <w:pStyle w:val="null3"/>
      </w:pPr>
      <w:r>
        <w:rPr/>
        <w:t>4、其他：详细内容见采购人需求</w:t>
      </w:r>
    </w:p>
    <w:p>
      <w:pPr>
        <w:pStyle w:val="null3"/>
      </w:pPr>
      <w:r>
        <w:rPr/>
        <w:t>5、本项目不接受联合体投标。</w:t>
      </w:r>
    </w:p>
    <w:p>
      <w:pPr>
        <w:pStyle w:val="null3"/>
      </w:pPr>
      <w:r>
        <w:rPr/>
        <w:t>采购包1（普宁市城区黑臭水体治理、练江一期项目整改、练江二期项目收尾等咨询服务（2025年度））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服务期限为项目中标之日起至2026年3月31日止。</w:t>
            </w:r>
          </w:p>
        </w:tc>
      </w:tr>
      <w:tr>
        <w:tc>
          <w:tcPr>
            <w:tcW w:type="dxa" w:w="4153"/>
          </w:tcPr>
          <w:p>
            <w:pPr>
              <w:pStyle w:val="null3"/>
            </w:pPr>
            <w:r>
              <w:rPr/>
              <w:t>标的提供的地点</w:t>
            </w:r>
          </w:p>
        </w:tc>
        <w:tc>
          <w:tcPr>
            <w:tcW w:type="dxa" w:w="4153"/>
          </w:tcPr>
          <w:p>
            <w:pPr>
              <w:pStyle w:val="null3"/>
            </w:pPr>
            <w:r>
              <w:rPr/>
              <w:t>按照采购人指定地点。</w:t>
            </w:r>
          </w:p>
        </w:tc>
      </w:tr>
      <w:tr/>
      <w:tr/>
      <w:tr>
        <w:tc>
          <w:tcPr>
            <w:tcW w:type="dxa" w:w="4153"/>
          </w:tcPr>
          <w:p>
            <w:pPr>
              <w:pStyle w:val="null3"/>
            </w:pPr>
            <w:r>
              <w:rPr/>
              <w:t>付款方式</w:t>
            </w:r>
          </w:p>
        </w:tc>
        <w:tc>
          <w:tcPr>
            <w:tcW w:type="dxa" w:w="4153"/>
          </w:tcPr>
          <w:p>
            <w:pPr>
              <w:pStyle w:val="null3"/>
            </w:pPr>
            <w:r>
              <w:rPr/>
              <w:t>第1期为(进度款)：支付比例30%，1期：支付比例30%,签订合同后7个工作日内，采购人向中标人支付合同价款的30%；。</w:t>
            </w:r>
          </w:p>
          <w:p>
            <w:pPr>
              <w:pStyle w:val="null3"/>
            </w:pPr>
            <w:r>
              <w:rPr/>
              <w:t>第2期为(进度款)：支付比例70%，2期：支付比例70%,中标人向采购人提交全部技术成果，向采购人申请结算剩余服务费时，采购人组织开展绩效考核。中标人考核得分在90分以上(含90分)的，全额结算剩余的服务费;中标人考核得分在90分以下的，计算实际得分与90分的差值，按每分值5000元人民币的标准从服务费中予以核减(考核表附后)。。</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1期：交付验收标准依次序对照适用标准为：均按国家、地方或行业 (排列在前者优先) 现行相关验收规范和评定标准执行。①按广东省有关规定的规范要求进行验收；②符合中华人民共和国国家安全质量标准、环保标准或行业标准；③符合采购文件和响应承诺配置、参数及各项要求。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其他，付款方式，采用支票、银行汇付（含电汇）等形式。款项支付时，中标人同时向采购人提供相应金额的正式发票。</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报价应包括服务、人工、管理、材料、运输、税费及合同实施过程中一切不可预见的费用等。</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技术成果</w:t>
            </w:r>
          </w:p>
        </w:tc>
        <w:tc>
          <w:tcPr>
            <w:tcW w:type="dxa" w:w="2076"/>
          </w:tcPr>
          <w:p>
            <w:pPr>
              <w:pStyle w:val="null3"/>
              <w:jc w:val="left"/>
            </w:pPr>
            <w:r>
              <w:rPr/>
              <w:t>相关成果版权，所有相关成果的版权全部归采购人所有。</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未经采购人许可，中标人不得将涉及的相关信息泄露给第三方，否则，采购人保留追究中标人法律责任的权利。</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1、中标人要接受并配合采购人的技术审查及相关巡视、检查；要保持同采购人的密切联系，遇有重大事项及时报告和反馈信息，尊重项目采购人的意见，接受项目采购人的提议、监督和指导；2、按相关规范要求提交本项目成果，不得有有任何侵权、盗用信息等行为。3、中标人要严格执行国家和各级地方政府、行业管理部门颁布实施的安全生产有关规定，加强对所有工作人员的安全教育和培训，切实采取有效的安全生产防护措施，承担一切安全责任。</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如涉及政府强制采购产品</w:t>
            </w:r>
          </w:p>
        </w:tc>
        <w:tc>
          <w:tcPr>
            <w:tcW w:type="dxa" w:w="2076"/>
          </w:tcPr>
          <w:p>
            <w:pPr>
              <w:pStyle w:val="null3"/>
              <w:jc w:val="left"/>
            </w:pPr>
            <w:r>
              <w:rPr/>
              <w:t>投标供应商报价的产品如涉及《财政部 发展改革委&lt;关于印发节能产品政府采购品目清单的通知&gt;（财库〔2019〕19 号）》文件中政府强制采购产品，如：台式计算机、便携式计算机、平板式微型计算机、激光打印机、针式打印机、液晶显示器、冷水机组、水源热泵机组、溴化锂吸收式冷水机组、多联式空调（热泵）机组(制冷量&gt;14000W)、单元式空气调节机(制冷量&gt;14000W)、机房空调、管型荧光灯镇流器、房间空气调节器、多联式空调（热泵）机组（制冷量≤14000W）、单元式空气调节机(制冷量≤14000W)、电热水器、普通照明用双端荧光灯、普通电视设备（电视机）、监视器、坐便器、蹲便器、小便器、水嘴等必须获得国家确定的认证机构出具的、处于有效期之内的节能产品认证证书。须提供产品在中国政府采购网（www.ccgp.gov.cn）或全国认证认可信息公共服务平台（cx.cnca.cn）节能产品认证信息查询界面截图或者提供产品获得国家确定的认证机构出具的、处于有效期之内的节能产品认证证书复印件。（加盖投标供应商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普宁市城区黑臭水体治理、练江一期项目整改、练江二期项目收尾等咨询服务（2025年度）</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1,200,000.00</w:t>
            </w:r>
          </w:p>
        </w:tc>
        <w:tc>
          <w:tcPr>
            <w:tcW w:type="dxa" w:w="933"/>
          </w:tcPr>
          <w:p>
            <w:pPr>
              <w:pStyle w:val="null3"/>
              <w:jc w:val="right"/>
            </w:pPr>
            <w:r>
              <w:rPr/>
              <w:t>1,200,000.00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普宁市城区黑臭水体治理、练江一期项目整改、练江二期项目收尾等咨询服务（2025年度）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left="735"/>
            </w:pPr>
            <w:r>
              <w:rPr>
                <w:sz w:val="32"/>
              </w:rPr>
              <w:t>（一）项目概况</w:t>
            </w:r>
          </w:p>
          <w:p>
            <w:pPr>
              <w:pStyle w:val="null3"/>
              <w:ind w:left="735" w:firstLine="720"/>
            </w:pPr>
            <w:r>
              <w:rPr>
                <w:sz w:val="32"/>
              </w:rPr>
              <w:t>为深入贯彻落实省委、省政府和揭阳市委、市政府关于练江污染整治的部署和要求，切实有效控制练江流域污染，巩固提升攻坚成效，保障练江水质持续改善，拟聘请技术咨询单位，继续对普宁市</w:t>
            </w:r>
            <w:r>
              <w:rPr>
                <w:sz w:val="32"/>
              </w:rPr>
              <w:t>2025年普宁市黑臭水体整治、污水处理系统运维考核、练江一二期建设工程竣工验收等的技术咨询服务内容进行技术咨询。</w:t>
            </w:r>
          </w:p>
          <w:p>
            <w:pPr>
              <w:pStyle w:val="null3"/>
            </w:pPr>
            <w:r>
              <w:rPr>
                <w:sz w:val="32"/>
              </w:rPr>
              <w:t>普宁市城区黑臭水体治理、练江一期项目整改、练江二期项目收尾等咨询服务（</w:t>
            </w:r>
            <w:r>
              <w:rPr>
                <w:sz w:val="32"/>
              </w:rPr>
              <w:t>2025年度）共包括六部分内容，分别为：普宁市城区十条水体的问题整治和“长制久清”提供技术咨询；普宁市污水处理厂、一体化设施、泵站和管网运维考核提供技术咨询；普宁市练江一期建设项目和练江二期建设项目竣工验收提供技术咨询；普宁市城区污水处理厂一占陇污水处理厂连通管规划方案提供技术咨询；普宁市东部创新城水质净化厂一期项目规划方案提供技术咨询；其它咨询工作。</w:t>
            </w:r>
          </w:p>
        </w:tc>
      </w:tr>
      <w:tr>
        <w:tc>
          <w:tcPr>
            <w:tcW w:type="dxa" w:w="2076"/>
          </w:tcPr>
          <w:p/>
        </w:tc>
        <w:tc>
          <w:tcPr>
            <w:tcW w:type="dxa" w:w="415"/>
          </w:tcPr>
          <w:p>
            <w:pPr>
              <w:pStyle w:val="null3"/>
            </w:pPr>
            <w:r>
              <w:rPr/>
              <w:t>2</w:t>
            </w:r>
          </w:p>
        </w:tc>
        <w:tc>
          <w:tcPr>
            <w:tcW w:type="dxa" w:w="5814"/>
          </w:tcPr>
          <w:p>
            <w:pPr>
              <w:pStyle w:val="null3"/>
              <w:ind w:left="735"/>
            </w:pPr>
            <w:r>
              <w:rPr>
                <w:sz w:val="32"/>
              </w:rPr>
              <w:t>（二）服务内容</w:t>
            </w:r>
          </w:p>
          <w:p>
            <w:pPr>
              <w:pStyle w:val="null3"/>
            </w:pPr>
            <w:r>
              <w:rPr>
                <w:sz w:val="32"/>
              </w:rPr>
              <w:t>1、为确保2025年底十条水体达到“长制久清”的目标，服务期内提供技术支持，协助采购人制定和推动长效管理机制，指导参建单位完善水体上游市政管网和雨污分流建设；指导相关街道开展水体日常管理和维护工作；指导上游排水单元实施达标单元创建工作等，对整治效果进行“长制久清”综合评估，对十条水体存在的问题提出咨询意见。</w:t>
            </w:r>
          </w:p>
        </w:tc>
      </w:tr>
      <w:tr>
        <w:tc>
          <w:tcPr>
            <w:tcW w:type="dxa" w:w="2076"/>
          </w:tcPr>
          <w:p/>
        </w:tc>
        <w:tc>
          <w:tcPr>
            <w:tcW w:type="dxa" w:w="415"/>
          </w:tcPr>
          <w:p>
            <w:pPr>
              <w:pStyle w:val="null3"/>
            </w:pPr>
            <w:r>
              <w:rPr/>
              <w:t>3</w:t>
            </w:r>
          </w:p>
        </w:tc>
        <w:tc>
          <w:tcPr>
            <w:tcW w:type="dxa" w:w="5814"/>
          </w:tcPr>
          <w:p>
            <w:pPr>
              <w:pStyle w:val="null3"/>
              <w:jc w:val="both"/>
            </w:pPr>
            <w:r>
              <w:rPr>
                <w:sz w:val="32"/>
              </w:rPr>
              <w:t>2、参与采购人服务期间内开展的污水处理厂、一体化设施、泵站和管网运维考核工作，并提供技术指导和出具咨询报告；依采购人需求服务期间内对普宁市现状污水处理设施和管网运维存在的问题提出咨询意见。</w:t>
            </w:r>
          </w:p>
        </w:tc>
      </w:tr>
      <w:tr>
        <w:tc>
          <w:tcPr>
            <w:tcW w:type="dxa" w:w="2076"/>
          </w:tcPr>
          <w:p/>
        </w:tc>
        <w:tc>
          <w:tcPr>
            <w:tcW w:type="dxa" w:w="415"/>
          </w:tcPr>
          <w:p>
            <w:pPr>
              <w:pStyle w:val="null3"/>
            </w:pPr>
            <w:r>
              <w:rPr/>
              <w:t>4</w:t>
            </w:r>
          </w:p>
        </w:tc>
        <w:tc>
          <w:tcPr>
            <w:tcW w:type="dxa" w:w="5814"/>
          </w:tcPr>
          <w:p>
            <w:pPr>
              <w:pStyle w:val="null3"/>
              <w:ind w:left="735" w:firstLine="720"/>
            </w:pPr>
            <w:r>
              <w:rPr>
                <w:sz w:val="32"/>
              </w:rPr>
              <w:t>3、根据工作需要，在服务期间若采购人组织练江一期建设项目和练江二期建设项目竣工验收工作，中标方需配合采购人提供技术指导，对竣工验收过程中存在的问题提出咨询意见。</w:t>
            </w:r>
          </w:p>
        </w:tc>
      </w:tr>
      <w:tr>
        <w:tc>
          <w:tcPr>
            <w:tcW w:type="dxa" w:w="2076"/>
          </w:tcPr>
          <w:p/>
        </w:tc>
        <w:tc>
          <w:tcPr>
            <w:tcW w:type="dxa" w:w="415"/>
          </w:tcPr>
          <w:p>
            <w:pPr>
              <w:pStyle w:val="null3"/>
            </w:pPr>
            <w:r>
              <w:rPr/>
              <w:t>5</w:t>
            </w:r>
          </w:p>
        </w:tc>
        <w:tc>
          <w:tcPr>
            <w:tcW w:type="dxa" w:w="5814"/>
          </w:tcPr>
          <w:p>
            <w:pPr>
              <w:pStyle w:val="null3"/>
              <w:ind w:left="735" w:firstLine="720"/>
            </w:pPr>
            <w:r>
              <w:rPr>
                <w:sz w:val="32"/>
              </w:rPr>
              <w:t>4、依采购人需求，在服务期间内，对普宁市城区污水处理厂-占陇污水处理厂连通管规划方案提供技术指导，并出具咨询意见。</w:t>
            </w:r>
          </w:p>
        </w:tc>
      </w:tr>
      <w:tr>
        <w:tc>
          <w:tcPr>
            <w:tcW w:type="dxa" w:w="2076"/>
          </w:tcPr>
          <w:p/>
        </w:tc>
        <w:tc>
          <w:tcPr>
            <w:tcW w:type="dxa" w:w="415"/>
          </w:tcPr>
          <w:p>
            <w:pPr>
              <w:pStyle w:val="null3"/>
            </w:pPr>
            <w:r>
              <w:rPr/>
              <w:t>6</w:t>
            </w:r>
          </w:p>
        </w:tc>
        <w:tc>
          <w:tcPr>
            <w:tcW w:type="dxa" w:w="5814"/>
          </w:tcPr>
          <w:p>
            <w:pPr>
              <w:pStyle w:val="null3"/>
              <w:jc w:val="both"/>
            </w:pPr>
            <w:r>
              <w:rPr>
                <w:sz w:val="32"/>
              </w:rPr>
              <w:t>5</w:t>
            </w:r>
            <w:r>
              <w:rPr>
                <w:sz w:val="32"/>
              </w:rPr>
              <w:t>、依采购人需求，在服务期间内，对东部创新城水质净化厂一期规划方案提供技术指导，并出具咨询意见。</w:t>
            </w:r>
          </w:p>
        </w:tc>
      </w:tr>
      <w:tr>
        <w:tc>
          <w:tcPr>
            <w:tcW w:type="dxa" w:w="2076"/>
          </w:tcPr>
          <w:p/>
        </w:tc>
        <w:tc>
          <w:tcPr>
            <w:tcW w:type="dxa" w:w="415"/>
          </w:tcPr>
          <w:p>
            <w:pPr>
              <w:pStyle w:val="null3"/>
            </w:pPr>
            <w:r>
              <w:rPr/>
              <w:t>7</w:t>
            </w:r>
          </w:p>
        </w:tc>
        <w:tc>
          <w:tcPr>
            <w:tcW w:type="dxa" w:w="5814"/>
          </w:tcPr>
          <w:p>
            <w:pPr>
              <w:pStyle w:val="null3"/>
              <w:jc w:val="both"/>
            </w:pPr>
            <w:r>
              <w:rPr>
                <w:sz w:val="32"/>
              </w:rPr>
              <w:t>6</w:t>
            </w:r>
            <w:r>
              <w:rPr>
                <w:sz w:val="32"/>
              </w:rPr>
              <w:t>、协助普宁市有关部门和街道开展污水治理相关工作；配合采购人开展其他的相关工作。</w:t>
            </w:r>
          </w:p>
        </w:tc>
      </w:tr>
      <w:tr>
        <w:tc>
          <w:tcPr>
            <w:tcW w:type="dxa" w:w="2076"/>
          </w:tcPr>
          <w:p/>
        </w:tc>
        <w:tc>
          <w:tcPr>
            <w:tcW w:type="dxa" w:w="415"/>
          </w:tcPr>
          <w:p>
            <w:pPr>
              <w:pStyle w:val="null3"/>
            </w:pPr>
            <w:r>
              <w:rPr/>
              <w:t>8</w:t>
            </w:r>
          </w:p>
        </w:tc>
        <w:tc>
          <w:tcPr>
            <w:tcW w:type="dxa" w:w="5814"/>
          </w:tcPr>
          <w:p>
            <w:pPr>
              <w:pStyle w:val="null3"/>
              <w:ind w:left="735"/>
            </w:pPr>
            <w:r>
              <w:rPr>
                <w:sz w:val="32"/>
              </w:rPr>
              <w:t>（三）咨询范围</w:t>
            </w:r>
          </w:p>
          <w:p>
            <w:pPr>
              <w:pStyle w:val="null3"/>
            </w:pPr>
            <w:r>
              <w:rPr>
                <w:sz w:val="32"/>
              </w:rPr>
              <w:t>咨询范围为练江普宁市城区，包括城区十条黑臭水体（湖东排渠、涂溪河、西陇乡引榕排渠、岳阳风水塘、秀陇排渠、流沙中河、泗竹埔村关帝庙西侧水体、湖东村柑园片东南侧水体、西陇桥沁园北侧水体和中骏房产附近水体），普宁市城区现状和在建管网和污水处理设施；普宁市城区污水处理厂一占陇污水处理厂连通管工程和普宁市东部创新城水质净化厂一期项目；根据实际工作需要提供的其他技术支持。</w:t>
            </w:r>
          </w:p>
        </w:tc>
      </w:tr>
      <w:tr>
        <w:tc>
          <w:tcPr>
            <w:tcW w:type="dxa" w:w="2076"/>
          </w:tcPr>
          <w:p/>
        </w:tc>
        <w:tc>
          <w:tcPr>
            <w:tcW w:type="dxa" w:w="415"/>
          </w:tcPr>
          <w:p>
            <w:pPr>
              <w:pStyle w:val="null3"/>
            </w:pPr>
            <w:r>
              <w:rPr/>
              <w:t>9</w:t>
            </w:r>
          </w:p>
        </w:tc>
        <w:tc>
          <w:tcPr>
            <w:tcW w:type="dxa" w:w="5814"/>
          </w:tcPr>
          <w:p>
            <w:pPr>
              <w:pStyle w:val="null3"/>
              <w:ind w:left="735"/>
            </w:pPr>
            <w:r>
              <w:rPr>
                <w:sz w:val="32"/>
              </w:rPr>
              <w:t>（四）服务目标</w:t>
            </w:r>
          </w:p>
          <w:tbl>
            <w:tblPr>
              <w:tblBorders>
                <w:top w:val="none" w:color="000000" w:sz="4"/>
                <w:left w:val="none" w:color="000000" w:sz="4"/>
                <w:bottom w:val="none" w:color="000000" w:sz="4"/>
                <w:right w:val="none" w:color="000000" w:sz="4"/>
                <w:insideH w:val="none"/>
                <w:insideV w:val="none"/>
              </w:tblBorders>
            </w:tblPr>
            <w:tblGrid>
              <w:gridCol w:w="355"/>
              <w:gridCol w:w="1492"/>
              <w:gridCol w:w="1379"/>
              <w:gridCol w:w="2352"/>
            </w:tblGrid>
            <w:tr>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序号</w:t>
                  </w: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服务内容</w:t>
                  </w:r>
                </w:p>
              </w:tc>
              <w:tc>
                <w:tcPr>
                  <w:tcW w:type="dxa" w:w="1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咨询范围</w:t>
                  </w:r>
                </w:p>
              </w:tc>
              <w:tc>
                <w:tcPr>
                  <w:tcW w:type="dxa" w:w="2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预期成果</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普宁市城区10条黑臭水体（清单内6条）整治和“长制久清”技术咨询</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普宁市城区湖东排渠、涂溪河、西陇乡引榕排渠、岳阳风水塘、秀陇排渠、流沙中河、泗竹埔村关帝庙西侧水体、湖东村柑园片东南侧水体、西陇桥沁园北侧水体和中骏房产附近水体。</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为确保2025年底前普宁市城区10条水体达到“长制久清”的目标，服务期内提供技术支持，协助委托方制定和推动长效管理机制，指导参建单位完善水体沿线市政管网和雨污分流建设；指导相关街道开展水体日常管理和维护工作；指导上游排水单元实施达标单元创建工作等，对整治效果进行“长制久清”综合评估，对10条水体存在的问题提出咨询意见。</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2</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普宁市污水处理厂、一体化设施、泵站和管网运维考核技术咨询</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普宁市7街18镇的22座污水处理厂及配套管网、152座农村一体化设施和城区市政管网。</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服务期间内参与委托方开展的污水处理厂及配套管网、一体化设施和城市管网运维考核工作，并提供技术指导和出具咨询报告；依委托方需求服务期间内对普宁市现状污水处理设施和管网运维存在的问题提出咨询意见。</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普宁市练江一期项目和练江二期项目竣工验收技术咨询</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练江一期项目建设的约493公里污水管网，练江二期项目建设的824公里的市政次支管网和424公里的雨污分流管网。</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根据工作需要，服务期间若委托方组织开展练江一期项目整改和练江二期项目竣工验收工作，配合委托方提供技术指导，对竣工验收过程中存在的问题提出咨询意见。</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4</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普宁市城区污水处理厂—占陇污水处理厂连通管工程规划方案技术咨询</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一座2万m³/d的污水提升泵站；两厂之间6.0km的DN600连通管。</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依委托方需求，在服务期间内，对普宁市城区污水处理厂—占陇污水处理厂连通管工程规划方案提供技术指导，并出具咨询意见。</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5</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普宁市东部创新城水质净化厂一期项目规划方案技术咨询</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东部创新城水质净化厂一期工程（设计规模5万m³/d）；以及6.5km的DN600~DN1500配套进厂主管。</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依委托方需求，在服务期间内，对东部创新城水质净化厂一期规划方案提供技术指导，并出具咨询意见。</w:t>
                  </w:r>
                </w:p>
              </w:tc>
            </w:tr>
            <w:tr>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6</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其它咨询工作</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根据委托方实际工作需要提供的技术支持。</w:t>
                  </w:r>
                </w:p>
              </w:tc>
              <w:tc>
                <w:tcPr>
                  <w:tcW w:type="dxa" w:w="2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协助普宁市有关部门和镇街开展污水治理相关工作；配合委托方开展其他相关工作。</w:t>
                  </w:r>
                </w:p>
              </w:tc>
            </w:tr>
          </w:tbl>
          <w:p/>
        </w:tc>
      </w:tr>
      <w:tr>
        <w:tc>
          <w:tcPr>
            <w:tcW w:type="dxa" w:w="2076"/>
          </w:tcPr>
          <w:p/>
        </w:tc>
        <w:tc>
          <w:tcPr>
            <w:tcW w:type="dxa" w:w="415"/>
          </w:tcPr>
          <w:p>
            <w:pPr>
              <w:pStyle w:val="null3"/>
            </w:pPr>
            <w:r>
              <w:rPr/>
              <w:t>10</w:t>
            </w:r>
          </w:p>
        </w:tc>
        <w:tc>
          <w:tcPr>
            <w:tcW w:type="dxa" w:w="5814"/>
          </w:tcPr>
          <w:p>
            <w:pPr>
              <w:pStyle w:val="null3"/>
              <w:spacing w:before="150" w:after="150"/>
              <w:jc w:val="center"/>
            </w:pPr>
            <w:r>
              <w:rPr>
                <w:sz w:val="32"/>
                <w:b/>
              </w:rPr>
              <w:t>普宁市城区黑臭水体治理、练江一期项目整改、练江二期项目收尾等咨询服务（</w:t>
            </w:r>
            <w:r>
              <w:rPr>
                <w:sz w:val="32"/>
                <w:b/>
              </w:rPr>
              <w:t>2025年度）</w:t>
            </w:r>
            <w:r>
              <w:rPr>
                <w:sz w:val="32"/>
                <w:b/>
              </w:rPr>
              <w:t>绩效考核评价</w:t>
            </w:r>
          </w:p>
          <w:p>
            <w:pPr>
              <w:pStyle w:val="null3"/>
              <w:spacing w:before="150" w:after="150"/>
              <w:jc w:val="left"/>
            </w:pPr>
            <w:r>
              <w:rPr>
                <w:sz w:val="24"/>
              </w:rPr>
              <w:t>考核单位（盖章）：</w:t>
            </w:r>
            <w:r>
              <w:rPr>
                <w:sz w:val="24"/>
              </w:rPr>
              <w:t xml:space="preserve">                                     </w:t>
            </w:r>
            <w:r>
              <w:rPr>
                <w:sz w:val="24"/>
              </w:rPr>
              <w:t>考核时间：</w:t>
            </w:r>
            <w:r>
              <w:rPr>
                <w:sz w:val="24"/>
              </w:rPr>
              <w:t xml:space="preserve">   </w:t>
            </w:r>
            <w:r>
              <w:rPr>
                <w:sz w:val="24"/>
              </w:rPr>
              <w:t>年</w:t>
            </w:r>
            <w:r>
              <w:rPr>
                <w:sz w:val="24"/>
              </w:rPr>
              <w:t xml:space="preserve">  </w:t>
            </w:r>
            <w:r>
              <w:rPr>
                <w:sz w:val="24"/>
              </w:rPr>
              <w:t>月</w:t>
            </w:r>
            <w:r>
              <w:rPr>
                <w:sz w:val="24"/>
              </w:rPr>
              <w:t xml:space="preserve">  </w:t>
            </w:r>
            <w:r>
              <w:rPr>
                <w:sz w:val="24"/>
              </w:rPr>
              <w:t>日</w:t>
            </w:r>
          </w:p>
          <w:tbl>
            <w:tblPr>
              <w:tblInd w:type="dxa" w:w="45"/>
              <w:tblBorders>
                <w:top w:val="none" w:color="000000" w:sz="4"/>
                <w:left w:val="none" w:color="000000" w:sz="4"/>
                <w:bottom w:val="none" w:color="000000" w:sz="4"/>
                <w:right w:val="none" w:color="000000" w:sz="4"/>
                <w:insideH w:val="none"/>
                <w:insideV w:val="none"/>
              </w:tblBorders>
            </w:tblPr>
            <w:tblGrid>
              <w:gridCol w:w="1052"/>
              <w:gridCol w:w="1028"/>
              <w:gridCol w:w="2232"/>
              <w:gridCol w:w="634"/>
              <w:gridCol w:w="634"/>
            </w:tblGrid>
            <w:tr>
              <w:tc>
                <w:tcPr>
                  <w:tcW w:type="dxa" w:w="1052"/>
                  <w:tcBorders>
                    <w:top w:val="single" w:color="000000" w:sz="8"/>
                    <w:left w:val="single" w:color="000000" w:sz="8"/>
                    <w:bottom w:val="single" w:color="000000" w:sz="4"/>
                    <w:right w:val="single" w:color="000000" w:sz="4"/>
                  </w:tcBorders>
                  <w:shd w:fill="D9D9D9"/>
                  <w:tcMar>
                    <w:top w:type="dxa" w:w="0"/>
                    <w:left w:type="dxa" w:w="60"/>
                    <w:bottom w:type="dxa" w:w="0"/>
                    <w:right w:type="dxa" w:w="60"/>
                  </w:tcMar>
                  <w:vAlign w:val="top"/>
                </w:tcPr>
                <w:p>
                  <w:pPr>
                    <w:pStyle w:val="null3"/>
                    <w:jc w:val="center"/>
                  </w:pPr>
                  <w:r>
                    <w:rPr>
                      <w:sz w:val="22"/>
                      <w:color w:val="000000"/>
                    </w:rPr>
                    <w:t>评价项目</w:t>
                  </w:r>
                </w:p>
              </w:tc>
              <w:tc>
                <w:tcPr>
                  <w:tcW w:type="dxa" w:w="1028"/>
                  <w:tcBorders>
                    <w:top w:val="single" w:color="000000" w:sz="8"/>
                    <w:left w:val="none" w:color="000000" w:sz="4"/>
                    <w:bottom w:val="single" w:color="000000" w:sz="4"/>
                    <w:right w:val="single" w:color="000000" w:sz="4"/>
                  </w:tcBorders>
                  <w:shd w:fill="D9D9D9"/>
                  <w:tcMar>
                    <w:top w:type="dxa" w:w="0"/>
                    <w:left w:type="dxa" w:w="60"/>
                    <w:bottom w:type="dxa" w:w="0"/>
                    <w:right w:type="dxa" w:w="60"/>
                  </w:tcMar>
                  <w:vAlign w:val="top"/>
                </w:tcPr>
                <w:p>
                  <w:pPr>
                    <w:pStyle w:val="null3"/>
                    <w:jc w:val="center"/>
                  </w:pPr>
                  <w:r>
                    <w:rPr>
                      <w:sz w:val="22"/>
                      <w:color w:val="000000"/>
                    </w:rPr>
                    <w:t>检查项目</w:t>
                  </w:r>
                </w:p>
              </w:tc>
              <w:tc>
                <w:tcPr>
                  <w:tcW w:type="dxa" w:w="2232"/>
                  <w:tcBorders>
                    <w:top w:val="single" w:color="000000" w:sz="8"/>
                    <w:left w:val="none" w:color="000000" w:sz="4"/>
                    <w:bottom w:val="single" w:color="000000" w:sz="4"/>
                    <w:right w:val="single" w:color="000000" w:sz="4"/>
                  </w:tcBorders>
                  <w:shd w:fill="D9D9D9"/>
                  <w:tcMar>
                    <w:top w:type="dxa" w:w="0"/>
                    <w:left w:type="dxa" w:w="60"/>
                    <w:bottom w:type="dxa" w:w="0"/>
                    <w:right w:type="dxa" w:w="60"/>
                  </w:tcMar>
                  <w:vAlign w:val="top"/>
                </w:tcPr>
                <w:p>
                  <w:pPr>
                    <w:pStyle w:val="null3"/>
                    <w:jc w:val="center"/>
                  </w:pPr>
                  <w:r>
                    <w:rPr>
                      <w:sz w:val="22"/>
                      <w:color w:val="000000"/>
                    </w:rPr>
                    <w:t>评分标准</w:t>
                  </w:r>
                </w:p>
              </w:tc>
              <w:tc>
                <w:tcPr>
                  <w:tcW w:type="dxa" w:w="634"/>
                  <w:tcBorders>
                    <w:top w:val="single" w:color="000000" w:sz="8"/>
                    <w:left w:val="none" w:color="000000" w:sz="4"/>
                    <w:bottom w:val="single" w:color="000000" w:sz="4"/>
                    <w:right w:val="single" w:color="000000" w:sz="8"/>
                  </w:tcBorders>
                  <w:shd w:fill="D9D9D9"/>
                  <w:tcMar>
                    <w:top w:type="dxa" w:w="0"/>
                    <w:left w:type="dxa" w:w="60"/>
                    <w:bottom w:type="dxa" w:w="0"/>
                    <w:right w:type="dxa" w:w="60"/>
                  </w:tcMar>
                  <w:vAlign w:val="top"/>
                </w:tcPr>
                <w:p>
                  <w:pPr>
                    <w:pStyle w:val="null3"/>
                    <w:jc w:val="center"/>
                  </w:pPr>
                  <w:r>
                    <w:rPr>
                      <w:sz w:val="22"/>
                      <w:color w:val="000000"/>
                    </w:rPr>
                    <w:t>分值</w:t>
                  </w:r>
                </w:p>
              </w:tc>
              <w:tc>
                <w:tcPr>
                  <w:tcW w:type="dxa" w:w="634"/>
                  <w:tcBorders>
                    <w:top w:val="single" w:color="000000" w:sz="8"/>
                    <w:left w:val="single" w:color="000000" w:sz="4"/>
                    <w:bottom w:val="single" w:color="000000" w:sz="4"/>
                    <w:right w:val="single" w:color="000000" w:sz="8"/>
                  </w:tcBorders>
                  <w:shd w:fill="D9D9D9"/>
                  <w:tcMar>
                    <w:top w:type="dxa" w:w="0"/>
                    <w:left w:type="dxa" w:w="60"/>
                    <w:bottom w:type="dxa" w:w="0"/>
                    <w:right w:type="dxa" w:w="60"/>
                  </w:tcMar>
                  <w:vAlign w:val="top"/>
                </w:tcPr>
                <w:p>
                  <w:pPr>
                    <w:pStyle w:val="null3"/>
                    <w:jc w:val="center"/>
                  </w:pPr>
                  <w:r>
                    <w:rPr>
                      <w:sz w:val="22"/>
                      <w:color w:val="000000"/>
                    </w:rPr>
                    <w:t>扣分</w:t>
                  </w:r>
                </w:p>
              </w:tc>
            </w:tr>
            <w:tr>
              <w:tc>
                <w:tcPr>
                  <w:tcW w:type="dxa" w:w="1052"/>
                  <w:vMerge w:val="restart"/>
                  <w:tcBorders>
                    <w:top w:val="none" w:color="000000" w:sz="4"/>
                    <w:left w:val="single" w:color="000000" w:sz="8"/>
                    <w:bottom w:val="none" w:color="000000" w:sz="4"/>
                    <w:right w:val="single" w:color="000000" w:sz="4"/>
                  </w:tcBorders>
                  <w:tcMar>
                    <w:top w:type="dxa" w:w="0"/>
                    <w:left w:type="dxa" w:w="60"/>
                    <w:bottom w:type="dxa" w:w="0"/>
                    <w:right w:type="dxa" w:w="60"/>
                  </w:tcMar>
                  <w:vAlign w:val="top"/>
                </w:tcPr>
                <w:p>
                  <w:pPr>
                    <w:pStyle w:val="null3"/>
                    <w:jc w:val="center"/>
                  </w:pPr>
                  <w:r>
                    <w:rPr>
                      <w:sz w:val="18"/>
                      <w:color w:val="000000"/>
                    </w:rPr>
                    <w:t>项目完成质量</w:t>
                  </w:r>
                  <w:r>
                    <w:rPr>
                      <w:sz w:val="18"/>
                      <w:color w:val="000000"/>
                    </w:rPr>
                    <w:t>（</w:t>
                  </w:r>
                  <w:r>
                    <w:rPr>
                      <w:sz w:val="18"/>
                      <w:color w:val="000000"/>
                    </w:rPr>
                    <w:t>50</w:t>
                  </w:r>
                  <w:r>
                    <w:rPr>
                      <w:sz w:val="18"/>
                      <w:color w:val="000000"/>
                    </w:rPr>
                    <w:t>分）</w:t>
                  </w:r>
                </w:p>
              </w:tc>
              <w:tc>
                <w:tcPr>
                  <w:tcW w:type="dxa" w:w="10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18"/>
                      <w:color w:val="000000"/>
                    </w:rPr>
                    <w:t>成果质量</w:t>
                  </w:r>
                </w:p>
              </w:tc>
              <w:tc>
                <w:tcPr>
                  <w:tcW w:type="dxa" w:w="223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pPr>
                  <w:r>
                    <w:rPr>
                      <w:sz w:val="18"/>
                      <w:color w:val="000000"/>
                    </w:rPr>
                    <w:t>综合咨询成果的时效性、完整性、合理性进行评分；</w:t>
                  </w:r>
                  <w:r>
                    <w:rPr>
                      <w:sz w:val="18"/>
                      <w:color w:val="000000"/>
                    </w:rPr>
                    <w:t>9</w:t>
                  </w:r>
                  <w:r>
                    <w:rPr>
                      <w:sz w:val="18"/>
                      <w:color w:val="000000"/>
                    </w:rPr>
                    <w:t>～</w:t>
                  </w:r>
                  <w:r>
                    <w:rPr>
                      <w:sz w:val="18"/>
                      <w:color w:val="000000"/>
                    </w:rPr>
                    <w:t>10</w:t>
                  </w:r>
                  <w:r>
                    <w:rPr>
                      <w:sz w:val="18"/>
                      <w:color w:val="000000"/>
                    </w:rPr>
                    <w:t>分“很满意”，</w:t>
                  </w:r>
                  <w:r>
                    <w:rPr>
                      <w:sz w:val="18"/>
                      <w:color w:val="000000"/>
                    </w:rPr>
                    <w:t>7</w:t>
                  </w:r>
                  <w:r>
                    <w:rPr>
                      <w:sz w:val="18"/>
                      <w:color w:val="000000"/>
                    </w:rPr>
                    <w:t>～</w:t>
                  </w:r>
                  <w:r>
                    <w:rPr>
                      <w:sz w:val="18"/>
                      <w:color w:val="000000"/>
                    </w:rPr>
                    <w:t>8</w:t>
                  </w:r>
                  <w:r>
                    <w:rPr>
                      <w:sz w:val="18"/>
                      <w:color w:val="000000"/>
                    </w:rPr>
                    <w:t>分“满意”。</w:t>
                  </w:r>
                  <w:r>
                    <w:rPr>
                      <w:sz w:val="18"/>
                      <w:color w:val="000000"/>
                    </w:rPr>
                    <w:t>5</w:t>
                  </w:r>
                  <w:r>
                    <w:rPr>
                      <w:sz w:val="18"/>
                      <w:color w:val="000000"/>
                    </w:rPr>
                    <w:t>～</w:t>
                  </w:r>
                  <w:r>
                    <w:rPr>
                      <w:sz w:val="18"/>
                      <w:color w:val="000000"/>
                    </w:rPr>
                    <w:t>6</w:t>
                  </w:r>
                  <w:r>
                    <w:rPr>
                      <w:sz w:val="18"/>
                      <w:color w:val="000000"/>
                    </w:rPr>
                    <w:t>分“基本满意”，</w:t>
                  </w:r>
                  <w:r>
                    <w:rPr>
                      <w:sz w:val="18"/>
                      <w:color w:val="000000"/>
                    </w:rPr>
                    <w:t>3</w:t>
                  </w:r>
                  <w:r>
                    <w:rPr>
                      <w:sz w:val="18"/>
                      <w:color w:val="000000"/>
                    </w:rPr>
                    <w:t>～</w:t>
                  </w:r>
                  <w:r>
                    <w:rPr>
                      <w:sz w:val="18"/>
                      <w:color w:val="000000"/>
                    </w:rPr>
                    <w:t>4</w:t>
                  </w:r>
                  <w:r>
                    <w:rPr>
                      <w:sz w:val="18"/>
                      <w:color w:val="000000"/>
                    </w:rPr>
                    <w:t>分“不满意”，</w:t>
                  </w:r>
                  <w:r>
                    <w:rPr>
                      <w:sz w:val="18"/>
                      <w:color w:val="000000"/>
                    </w:rPr>
                    <w:t>0~2</w:t>
                  </w:r>
                  <w:r>
                    <w:rPr>
                      <w:sz w:val="18"/>
                      <w:color w:val="000000"/>
                    </w:rPr>
                    <w:t>分“很不满意”。</w:t>
                  </w:r>
                </w:p>
              </w:tc>
              <w:tc>
                <w:tcPr>
                  <w:tcW w:type="dxa" w:w="634"/>
                  <w:tcBorders>
                    <w:top w:val="none" w:color="000000" w:sz="4"/>
                    <w:left w:val="none" w:color="000000" w:sz="4"/>
                    <w:bottom w:val="single" w:color="000000" w:sz="4"/>
                    <w:right w:val="single" w:color="000000" w:sz="8"/>
                  </w:tcBorders>
                  <w:tcMar>
                    <w:top w:type="dxa" w:w="0"/>
                    <w:left w:type="dxa" w:w="60"/>
                    <w:bottom w:type="dxa" w:w="0"/>
                    <w:right w:type="dxa" w:w="60"/>
                  </w:tcMar>
                  <w:vAlign w:val="top"/>
                </w:tcPr>
                <w:p>
                  <w:pPr>
                    <w:pStyle w:val="null3"/>
                    <w:jc w:val="center"/>
                  </w:pPr>
                  <w:r>
                    <w:rPr>
                      <w:sz w:val="18"/>
                      <w:color w:val="000000"/>
                    </w:rPr>
                    <w:t>10</w:t>
                  </w:r>
                </w:p>
              </w:tc>
              <w:tc>
                <w:tcPr>
                  <w:tcW w:type="dxa" w:w="634"/>
                  <w:tcBorders>
                    <w:top w:val="none" w:color="000000" w:sz="4"/>
                    <w:left w:val="single" w:color="000000" w:sz="4"/>
                    <w:bottom w:val="single" w:color="000000" w:sz="4"/>
                    <w:right w:val="single" w:color="000000" w:sz="8"/>
                  </w:tcBorders>
                  <w:tcMar>
                    <w:top w:type="dxa" w:w="0"/>
                    <w:left w:type="dxa" w:w="60"/>
                    <w:bottom w:type="dxa" w:w="0"/>
                    <w:right w:type="dxa" w:w="60"/>
                  </w:tcMar>
                  <w:vAlign w:val="top"/>
                </w:tcPr>
                <w:p>
                  <w:pPr>
                    <w:pStyle w:val="null3"/>
                    <w:jc w:val="center"/>
                  </w:pPr>
                </w:p>
              </w:tc>
            </w:tr>
            <w:tr>
              <w:tc>
                <w:tcPr>
                  <w:tcW w:type="dxa" w:w="1052"/>
                  <w:vMerge/>
                  <w:tcBorders>
                    <w:top w:val="none" w:color="000000" w:sz="4"/>
                    <w:left w:val="single" w:color="000000" w:sz="8"/>
                    <w:bottom w:val="non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18"/>
                      <w:color w:val="000000"/>
                    </w:rPr>
                    <w:t>服务质量</w:t>
                  </w:r>
                </w:p>
              </w:tc>
              <w:tc>
                <w:tcPr>
                  <w:tcW w:type="dxa" w:w="223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pPr>
                  <w:r>
                    <w:rPr>
                      <w:sz w:val="18"/>
                      <w:color w:val="000000"/>
                    </w:rPr>
                    <w:t>（</w:t>
                  </w:r>
                  <w:r>
                    <w:rPr>
                      <w:sz w:val="18"/>
                      <w:color w:val="000000"/>
                    </w:rPr>
                    <w:t>1</w:t>
                  </w:r>
                  <w:r>
                    <w:rPr>
                      <w:sz w:val="18"/>
                      <w:color w:val="000000"/>
                    </w:rPr>
                    <w:t>）咨询服务的规范性：提供规范、全面的咨询服务；</w:t>
                  </w:r>
                </w:p>
                <w:p>
                  <w:pPr>
                    <w:pStyle w:val="null3"/>
                  </w:pPr>
                  <w:r>
                    <w:rPr>
                      <w:sz w:val="18"/>
                      <w:color w:val="000000"/>
                    </w:rPr>
                    <w:t>（</w:t>
                  </w:r>
                  <w:r>
                    <w:rPr>
                      <w:sz w:val="18"/>
                      <w:color w:val="000000"/>
                    </w:rPr>
                    <w:t>2</w:t>
                  </w:r>
                  <w:r>
                    <w:rPr>
                      <w:sz w:val="18"/>
                      <w:color w:val="000000"/>
                    </w:rPr>
                    <w:t>）咨询服务的及时性：提供及时、高效的咨询服务；</w:t>
                  </w:r>
                </w:p>
                <w:p>
                  <w:pPr>
                    <w:pStyle w:val="null3"/>
                  </w:pPr>
                  <w:r>
                    <w:rPr>
                      <w:sz w:val="18"/>
                      <w:color w:val="000000"/>
                    </w:rPr>
                    <w:t>（</w:t>
                  </w:r>
                  <w:r>
                    <w:rPr>
                      <w:sz w:val="18"/>
                      <w:color w:val="000000"/>
                    </w:rPr>
                    <w:t>3</w:t>
                  </w:r>
                  <w:r>
                    <w:rPr>
                      <w:sz w:val="18"/>
                      <w:color w:val="000000"/>
                    </w:rPr>
                    <w:t>）咨询人员具有良好的服务态度，工作主动。</w:t>
                  </w:r>
                </w:p>
                <w:p>
                  <w:pPr>
                    <w:pStyle w:val="null3"/>
                  </w:pPr>
                  <w:r>
                    <w:rPr>
                      <w:sz w:val="18"/>
                      <w:color w:val="000000"/>
                    </w:rPr>
                    <w:t>上述各项分别进行评分，每项满分为</w:t>
                  </w:r>
                  <w:r>
                    <w:rPr>
                      <w:sz w:val="18"/>
                      <w:color w:val="000000"/>
                    </w:rPr>
                    <w:t>10</w:t>
                  </w:r>
                  <w:r>
                    <w:rPr>
                      <w:sz w:val="18"/>
                      <w:color w:val="000000"/>
                    </w:rPr>
                    <w:t>分，</w:t>
                  </w:r>
                  <w:r>
                    <w:rPr>
                      <w:sz w:val="18"/>
                      <w:color w:val="000000"/>
                    </w:rPr>
                    <w:t>9</w:t>
                  </w:r>
                  <w:r>
                    <w:rPr>
                      <w:sz w:val="18"/>
                      <w:color w:val="000000"/>
                    </w:rPr>
                    <w:t>～</w:t>
                  </w:r>
                  <w:r>
                    <w:rPr>
                      <w:sz w:val="18"/>
                      <w:color w:val="000000"/>
                    </w:rPr>
                    <w:t>10</w:t>
                  </w:r>
                  <w:r>
                    <w:rPr>
                      <w:sz w:val="18"/>
                      <w:color w:val="000000"/>
                    </w:rPr>
                    <w:t>分“很满意”，</w:t>
                  </w:r>
                  <w:r>
                    <w:rPr>
                      <w:sz w:val="18"/>
                      <w:color w:val="000000"/>
                    </w:rPr>
                    <w:t>7</w:t>
                  </w:r>
                  <w:r>
                    <w:rPr>
                      <w:sz w:val="18"/>
                      <w:color w:val="000000"/>
                    </w:rPr>
                    <w:t>～</w:t>
                  </w:r>
                  <w:r>
                    <w:rPr>
                      <w:sz w:val="18"/>
                      <w:color w:val="000000"/>
                    </w:rPr>
                    <w:t>8</w:t>
                  </w:r>
                  <w:r>
                    <w:rPr>
                      <w:sz w:val="18"/>
                      <w:color w:val="000000"/>
                    </w:rPr>
                    <w:t>分“满意”。</w:t>
                  </w:r>
                  <w:r>
                    <w:rPr>
                      <w:sz w:val="18"/>
                      <w:color w:val="000000"/>
                    </w:rPr>
                    <w:t>5</w:t>
                  </w:r>
                  <w:r>
                    <w:rPr>
                      <w:sz w:val="18"/>
                      <w:color w:val="000000"/>
                    </w:rPr>
                    <w:t>～</w:t>
                  </w:r>
                  <w:r>
                    <w:rPr>
                      <w:sz w:val="18"/>
                      <w:color w:val="000000"/>
                    </w:rPr>
                    <w:t>6</w:t>
                  </w:r>
                  <w:r>
                    <w:rPr>
                      <w:sz w:val="18"/>
                      <w:color w:val="000000"/>
                    </w:rPr>
                    <w:t>分“基本满意”，</w:t>
                  </w:r>
                  <w:r>
                    <w:rPr>
                      <w:sz w:val="18"/>
                      <w:color w:val="000000"/>
                    </w:rPr>
                    <w:t>3</w:t>
                  </w:r>
                  <w:r>
                    <w:rPr>
                      <w:sz w:val="18"/>
                      <w:color w:val="000000"/>
                    </w:rPr>
                    <w:t>～</w:t>
                  </w:r>
                  <w:r>
                    <w:rPr>
                      <w:sz w:val="18"/>
                      <w:color w:val="000000"/>
                    </w:rPr>
                    <w:t>4</w:t>
                  </w:r>
                  <w:r>
                    <w:rPr>
                      <w:sz w:val="18"/>
                      <w:color w:val="000000"/>
                    </w:rPr>
                    <w:t>分“不满意”，</w:t>
                  </w:r>
                  <w:r>
                    <w:rPr>
                      <w:sz w:val="18"/>
                      <w:color w:val="000000"/>
                    </w:rPr>
                    <w:t>0~2</w:t>
                  </w:r>
                  <w:r>
                    <w:rPr>
                      <w:sz w:val="18"/>
                      <w:color w:val="000000"/>
                    </w:rPr>
                    <w:t>分“很不满意”。</w:t>
                  </w:r>
                </w:p>
              </w:tc>
              <w:tc>
                <w:tcPr>
                  <w:tcW w:type="dxa" w:w="634"/>
                  <w:tcBorders>
                    <w:top w:val="none" w:color="000000" w:sz="4"/>
                    <w:left w:val="none" w:color="000000" w:sz="4"/>
                    <w:bottom w:val="single" w:color="000000" w:sz="4"/>
                    <w:right w:val="single" w:color="000000" w:sz="8"/>
                  </w:tcBorders>
                  <w:tcMar>
                    <w:top w:type="dxa" w:w="0"/>
                    <w:left w:type="dxa" w:w="60"/>
                    <w:bottom w:type="dxa" w:w="0"/>
                    <w:right w:type="dxa" w:w="60"/>
                  </w:tcMar>
                  <w:vAlign w:val="top"/>
                </w:tcPr>
                <w:p>
                  <w:pPr>
                    <w:pStyle w:val="null3"/>
                    <w:jc w:val="center"/>
                  </w:pPr>
                  <w:r>
                    <w:rPr>
                      <w:sz w:val="18"/>
                      <w:color w:val="000000"/>
                    </w:rPr>
                    <w:t>30</w:t>
                  </w:r>
                </w:p>
              </w:tc>
              <w:tc>
                <w:tcPr>
                  <w:tcW w:type="dxa" w:w="634"/>
                  <w:tcBorders>
                    <w:top w:val="none" w:color="000000" w:sz="4"/>
                    <w:left w:val="single" w:color="000000" w:sz="4"/>
                    <w:bottom w:val="single" w:color="000000" w:sz="4"/>
                    <w:right w:val="single" w:color="000000" w:sz="8"/>
                  </w:tcBorders>
                  <w:tcMar>
                    <w:top w:type="dxa" w:w="0"/>
                    <w:left w:type="dxa" w:w="60"/>
                    <w:bottom w:type="dxa" w:w="0"/>
                    <w:right w:type="dxa" w:w="60"/>
                  </w:tcMar>
                  <w:vAlign w:val="top"/>
                </w:tcPr>
                <w:p>
                  <w:pPr>
                    <w:pStyle w:val="null3"/>
                    <w:jc w:val="center"/>
                  </w:pPr>
                </w:p>
              </w:tc>
            </w:tr>
            <w:tr>
              <w:tc>
                <w:tcPr>
                  <w:tcW w:type="dxa" w:w="1052"/>
                  <w:vMerge/>
                  <w:tcBorders>
                    <w:top w:val="none" w:color="000000" w:sz="4"/>
                    <w:left w:val="single" w:color="000000" w:sz="8"/>
                    <w:bottom w:val="non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18"/>
                      <w:color w:val="000000"/>
                    </w:rPr>
                    <w:t>咨询人员技术水平</w:t>
                  </w:r>
                </w:p>
              </w:tc>
              <w:tc>
                <w:tcPr>
                  <w:tcW w:type="dxa" w:w="223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pPr>
                  <w:r>
                    <w:rPr>
                      <w:sz w:val="18"/>
                      <w:color w:val="000000"/>
                    </w:rPr>
                    <w:t>（</w:t>
                  </w:r>
                  <w:r>
                    <w:rPr>
                      <w:sz w:val="18"/>
                      <w:color w:val="000000"/>
                    </w:rPr>
                    <w:t>1</w:t>
                  </w:r>
                  <w:r>
                    <w:rPr>
                      <w:sz w:val="18"/>
                      <w:color w:val="000000"/>
                    </w:rPr>
                    <w:t>）</w:t>
                  </w:r>
                  <w:r>
                    <w:rPr>
                      <w:sz w:val="18"/>
                      <w:color w:val="000000"/>
                    </w:rPr>
                    <w:t>专业能力：咨询人员在解决实际问题时，分析准确，能提出具有实用性、有效性的咨询意见；</w:t>
                  </w:r>
                </w:p>
                <w:p>
                  <w:pPr>
                    <w:pStyle w:val="null3"/>
                  </w:pPr>
                  <w:r>
                    <w:rPr>
                      <w:sz w:val="18"/>
                      <w:color w:val="000000"/>
                    </w:rPr>
                    <w:t>（</w:t>
                  </w:r>
                  <w:r>
                    <w:rPr>
                      <w:sz w:val="18"/>
                      <w:color w:val="000000"/>
                    </w:rPr>
                    <w:t>2</w:t>
                  </w:r>
                  <w:r>
                    <w:rPr>
                      <w:sz w:val="18"/>
                      <w:color w:val="000000"/>
                    </w:rPr>
                    <w:t>）沟通能力：咨询人员与相关方沟通协调时，表达清晰、沟通顺畅。</w:t>
                  </w:r>
                </w:p>
                <w:p>
                  <w:pPr>
                    <w:pStyle w:val="null3"/>
                  </w:pPr>
                  <w:r>
                    <w:rPr>
                      <w:sz w:val="18"/>
                      <w:color w:val="000000"/>
                    </w:rPr>
                    <w:t>上述各项分别进行评分，每项满分为</w:t>
                  </w:r>
                  <w:r>
                    <w:rPr>
                      <w:sz w:val="18"/>
                      <w:color w:val="000000"/>
                    </w:rPr>
                    <w:t>5</w:t>
                  </w:r>
                  <w:r>
                    <w:rPr>
                      <w:sz w:val="18"/>
                      <w:color w:val="000000"/>
                    </w:rPr>
                    <w:t>分，</w:t>
                  </w:r>
                  <w:r>
                    <w:rPr>
                      <w:sz w:val="18"/>
                      <w:color w:val="000000"/>
                    </w:rPr>
                    <w:t>5</w:t>
                  </w:r>
                  <w:r>
                    <w:rPr>
                      <w:sz w:val="18"/>
                      <w:color w:val="000000"/>
                    </w:rPr>
                    <w:t>分“很满意”，</w:t>
                  </w:r>
                  <w:r>
                    <w:rPr>
                      <w:sz w:val="18"/>
                      <w:color w:val="000000"/>
                    </w:rPr>
                    <w:t>4</w:t>
                  </w:r>
                  <w:r>
                    <w:rPr>
                      <w:sz w:val="18"/>
                      <w:color w:val="000000"/>
                    </w:rPr>
                    <w:t>分“满意”。</w:t>
                  </w:r>
                  <w:r>
                    <w:rPr>
                      <w:sz w:val="18"/>
                      <w:color w:val="000000"/>
                    </w:rPr>
                    <w:t>3</w:t>
                  </w:r>
                  <w:r>
                    <w:rPr>
                      <w:sz w:val="18"/>
                      <w:color w:val="000000"/>
                    </w:rPr>
                    <w:t>分“基本满意”，</w:t>
                  </w:r>
                  <w:r>
                    <w:rPr>
                      <w:sz w:val="18"/>
                      <w:color w:val="000000"/>
                    </w:rPr>
                    <w:t>2</w:t>
                  </w:r>
                  <w:r>
                    <w:rPr>
                      <w:sz w:val="18"/>
                      <w:color w:val="000000"/>
                    </w:rPr>
                    <w:t>分“不满意”，</w:t>
                  </w:r>
                  <w:r>
                    <w:rPr>
                      <w:sz w:val="18"/>
                      <w:color w:val="000000"/>
                    </w:rPr>
                    <w:t>0~1</w:t>
                  </w:r>
                  <w:r>
                    <w:rPr>
                      <w:sz w:val="18"/>
                      <w:color w:val="000000"/>
                    </w:rPr>
                    <w:t>分“很不满意”。</w:t>
                  </w:r>
                </w:p>
              </w:tc>
              <w:tc>
                <w:tcPr>
                  <w:tcW w:type="dxa" w:w="634"/>
                  <w:tcBorders>
                    <w:top w:val="none" w:color="000000" w:sz="4"/>
                    <w:left w:val="none" w:color="000000" w:sz="4"/>
                    <w:bottom w:val="single" w:color="000000" w:sz="4"/>
                    <w:right w:val="single" w:color="000000" w:sz="8"/>
                  </w:tcBorders>
                  <w:tcMar>
                    <w:top w:type="dxa" w:w="0"/>
                    <w:left w:type="dxa" w:w="60"/>
                    <w:bottom w:type="dxa" w:w="0"/>
                    <w:right w:type="dxa" w:w="60"/>
                  </w:tcMar>
                  <w:vAlign w:val="top"/>
                </w:tcPr>
                <w:p>
                  <w:pPr>
                    <w:pStyle w:val="null3"/>
                    <w:jc w:val="center"/>
                  </w:pPr>
                  <w:r>
                    <w:rPr>
                      <w:sz w:val="18"/>
                      <w:color w:val="000000"/>
                    </w:rPr>
                    <w:t>10</w:t>
                  </w:r>
                </w:p>
              </w:tc>
              <w:tc>
                <w:tcPr>
                  <w:tcW w:type="dxa" w:w="634"/>
                  <w:tcBorders>
                    <w:top w:val="none" w:color="000000" w:sz="4"/>
                    <w:left w:val="single" w:color="000000" w:sz="4"/>
                    <w:bottom w:val="single" w:color="000000" w:sz="4"/>
                    <w:right w:val="single" w:color="000000" w:sz="8"/>
                  </w:tcBorders>
                  <w:tcMar>
                    <w:top w:type="dxa" w:w="0"/>
                    <w:left w:type="dxa" w:w="60"/>
                    <w:bottom w:type="dxa" w:w="0"/>
                    <w:right w:type="dxa" w:w="60"/>
                  </w:tcMar>
                  <w:vAlign w:val="top"/>
                </w:tcPr>
                <w:p>
                  <w:pPr>
                    <w:pStyle w:val="null3"/>
                    <w:jc w:val="center"/>
                  </w:pPr>
                </w:p>
              </w:tc>
            </w:tr>
            <w:tr>
              <w:tc>
                <w:tcPr>
                  <w:tcW w:type="dxa" w:w="1052"/>
                  <w:vMerge w:val="restart"/>
                  <w:tcBorders>
                    <w:top w:val="none" w:color="000000" w:sz="4"/>
                    <w:left w:val="single" w:color="000000" w:sz="8"/>
                    <w:bottom w:val="none" w:color="000000" w:sz="4"/>
                    <w:right w:val="single" w:color="000000" w:sz="4"/>
                  </w:tcBorders>
                  <w:tcMar>
                    <w:top w:type="dxa" w:w="0"/>
                    <w:left w:type="dxa" w:w="60"/>
                    <w:bottom w:type="dxa" w:w="0"/>
                    <w:right w:type="dxa" w:w="60"/>
                  </w:tcMar>
                  <w:vAlign w:val="top"/>
                </w:tcPr>
                <w:p>
                  <w:pPr>
                    <w:pStyle w:val="null3"/>
                    <w:jc w:val="center"/>
                  </w:pPr>
                  <w:r>
                    <w:rPr>
                      <w:sz w:val="18"/>
                      <w:color w:val="000000"/>
                    </w:rPr>
                    <w:t>项目完成进度</w:t>
                  </w:r>
                  <w:r>
                    <w:rPr>
                      <w:sz w:val="18"/>
                      <w:color w:val="000000"/>
                    </w:rPr>
                    <w:t>（</w:t>
                  </w:r>
                  <w:r>
                    <w:rPr>
                      <w:sz w:val="18"/>
                      <w:color w:val="000000"/>
                    </w:rPr>
                    <w:t>4</w:t>
                  </w:r>
                  <w:r>
                    <w:rPr>
                      <w:sz w:val="18"/>
                      <w:color w:val="000000"/>
                    </w:rPr>
                    <w:t>0</w:t>
                  </w:r>
                  <w:r>
                    <w:rPr>
                      <w:sz w:val="18"/>
                      <w:color w:val="000000"/>
                    </w:rPr>
                    <w:t>分）</w:t>
                  </w:r>
                </w:p>
              </w:tc>
              <w:tc>
                <w:tcPr>
                  <w:tcW w:type="dxa" w:w="10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18"/>
                      <w:color w:val="000000"/>
                    </w:rPr>
                    <w:t>合同履约程度</w:t>
                  </w:r>
                </w:p>
              </w:tc>
              <w:tc>
                <w:tcPr>
                  <w:tcW w:type="dxa" w:w="223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pPr>
                  <w:r>
                    <w:rPr>
                      <w:sz w:val="18"/>
                      <w:color w:val="000000"/>
                    </w:rPr>
                    <w:t>（</w:t>
                  </w:r>
                  <w:r>
                    <w:rPr>
                      <w:sz w:val="18"/>
                      <w:color w:val="000000"/>
                    </w:rPr>
                    <w:t>1</w:t>
                  </w:r>
                  <w:r>
                    <w:rPr>
                      <w:sz w:val="18"/>
                      <w:color w:val="000000"/>
                    </w:rPr>
                    <w:t>）合同完成进度：在约定的服务期限内，完成了合同所约定的服务内容；</w:t>
                  </w:r>
                </w:p>
                <w:p>
                  <w:pPr>
                    <w:pStyle w:val="null3"/>
                  </w:pPr>
                  <w:r>
                    <w:rPr>
                      <w:sz w:val="18"/>
                      <w:color w:val="000000"/>
                    </w:rPr>
                    <w:t>（</w:t>
                  </w:r>
                  <w:r>
                    <w:rPr>
                      <w:sz w:val="18"/>
                      <w:color w:val="000000"/>
                    </w:rPr>
                    <w:t>2</w:t>
                  </w:r>
                  <w:r>
                    <w:rPr>
                      <w:sz w:val="18"/>
                      <w:color w:val="000000"/>
                    </w:rPr>
                    <w:t>）合同完成质量：提供的咨询服务达到了合同约定的质量要求。</w:t>
                  </w:r>
                </w:p>
                <w:p>
                  <w:pPr>
                    <w:pStyle w:val="null3"/>
                  </w:pPr>
                  <w:r>
                    <w:rPr>
                      <w:sz w:val="18"/>
                      <w:color w:val="000000"/>
                    </w:rPr>
                    <w:t>上述各项分别进行评分，每项满分为</w:t>
                  </w:r>
                  <w:r>
                    <w:rPr>
                      <w:sz w:val="18"/>
                      <w:color w:val="000000"/>
                    </w:rPr>
                    <w:t>10</w:t>
                  </w:r>
                  <w:r>
                    <w:rPr>
                      <w:sz w:val="18"/>
                      <w:color w:val="000000"/>
                    </w:rPr>
                    <w:t>分，</w:t>
                  </w:r>
                  <w:r>
                    <w:rPr>
                      <w:sz w:val="18"/>
                      <w:color w:val="000000"/>
                    </w:rPr>
                    <w:t>9</w:t>
                  </w:r>
                  <w:r>
                    <w:rPr>
                      <w:sz w:val="18"/>
                      <w:color w:val="000000"/>
                    </w:rPr>
                    <w:t>～</w:t>
                  </w:r>
                  <w:r>
                    <w:rPr>
                      <w:sz w:val="18"/>
                      <w:color w:val="000000"/>
                    </w:rPr>
                    <w:t>10</w:t>
                  </w:r>
                  <w:r>
                    <w:rPr>
                      <w:sz w:val="18"/>
                      <w:color w:val="000000"/>
                    </w:rPr>
                    <w:t>分“很满意”，</w:t>
                  </w:r>
                  <w:r>
                    <w:rPr>
                      <w:sz w:val="18"/>
                      <w:color w:val="000000"/>
                    </w:rPr>
                    <w:t>7</w:t>
                  </w:r>
                  <w:r>
                    <w:rPr>
                      <w:sz w:val="18"/>
                      <w:color w:val="000000"/>
                    </w:rPr>
                    <w:t>～</w:t>
                  </w:r>
                  <w:r>
                    <w:rPr>
                      <w:sz w:val="18"/>
                      <w:color w:val="000000"/>
                    </w:rPr>
                    <w:t>8</w:t>
                  </w:r>
                  <w:r>
                    <w:rPr>
                      <w:sz w:val="18"/>
                      <w:color w:val="000000"/>
                    </w:rPr>
                    <w:t>分“满意”。</w:t>
                  </w:r>
                  <w:r>
                    <w:rPr>
                      <w:sz w:val="18"/>
                      <w:color w:val="000000"/>
                    </w:rPr>
                    <w:t>5</w:t>
                  </w:r>
                  <w:r>
                    <w:rPr>
                      <w:sz w:val="18"/>
                      <w:color w:val="000000"/>
                    </w:rPr>
                    <w:t>～</w:t>
                  </w:r>
                  <w:r>
                    <w:rPr>
                      <w:sz w:val="18"/>
                      <w:color w:val="000000"/>
                    </w:rPr>
                    <w:t>6</w:t>
                  </w:r>
                  <w:r>
                    <w:rPr>
                      <w:sz w:val="18"/>
                      <w:color w:val="000000"/>
                    </w:rPr>
                    <w:t>分“基本满意”，</w:t>
                  </w:r>
                  <w:r>
                    <w:rPr>
                      <w:sz w:val="18"/>
                      <w:color w:val="000000"/>
                    </w:rPr>
                    <w:t>3</w:t>
                  </w:r>
                  <w:r>
                    <w:rPr>
                      <w:sz w:val="18"/>
                      <w:color w:val="000000"/>
                    </w:rPr>
                    <w:t>～</w:t>
                  </w:r>
                  <w:r>
                    <w:rPr>
                      <w:sz w:val="18"/>
                      <w:color w:val="000000"/>
                    </w:rPr>
                    <w:t>4</w:t>
                  </w:r>
                  <w:r>
                    <w:rPr>
                      <w:sz w:val="18"/>
                      <w:color w:val="000000"/>
                    </w:rPr>
                    <w:t>分“不满意”，</w:t>
                  </w:r>
                  <w:r>
                    <w:rPr>
                      <w:sz w:val="18"/>
                      <w:color w:val="000000"/>
                    </w:rPr>
                    <w:t>0~2</w:t>
                  </w:r>
                  <w:r>
                    <w:rPr>
                      <w:sz w:val="18"/>
                      <w:color w:val="000000"/>
                    </w:rPr>
                    <w:t>分“很不满意”。</w:t>
                  </w:r>
                </w:p>
              </w:tc>
              <w:tc>
                <w:tcPr>
                  <w:tcW w:type="dxa" w:w="634"/>
                  <w:tcBorders>
                    <w:top w:val="none" w:color="000000" w:sz="4"/>
                    <w:left w:val="none" w:color="000000" w:sz="4"/>
                    <w:bottom w:val="single" w:color="000000" w:sz="4"/>
                    <w:right w:val="single" w:color="000000" w:sz="8"/>
                  </w:tcBorders>
                  <w:tcMar>
                    <w:top w:type="dxa" w:w="0"/>
                    <w:left w:type="dxa" w:w="60"/>
                    <w:bottom w:type="dxa" w:w="0"/>
                    <w:right w:type="dxa" w:w="60"/>
                  </w:tcMar>
                  <w:vAlign w:val="top"/>
                </w:tcPr>
                <w:p>
                  <w:pPr>
                    <w:pStyle w:val="null3"/>
                    <w:jc w:val="center"/>
                  </w:pPr>
                  <w:r>
                    <w:rPr>
                      <w:sz w:val="18"/>
                      <w:color w:val="000000"/>
                    </w:rPr>
                    <w:t>20</w:t>
                  </w:r>
                </w:p>
              </w:tc>
              <w:tc>
                <w:tcPr>
                  <w:tcW w:type="dxa" w:w="634"/>
                  <w:tcBorders>
                    <w:top w:val="none" w:color="000000" w:sz="4"/>
                    <w:left w:val="single" w:color="000000" w:sz="4"/>
                    <w:bottom w:val="single" w:color="000000" w:sz="4"/>
                    <w:right w:val="single" w:color="000000" w:sz="8"/>
                  </w:tcBorders>
                  <w:tcMar>
                    <w:top w:type="dxa" w:w="0"/>
                    <w:left w:type="dxa" w:w="60"/>
                    <w:bottom w:type="dxa" w:w="0"/>
                    <w:right w:type="dxa" w:w="60"/>
                  </w:tcMar>
                  <w:vAlign w:val="top"/>
                </w:tcPr>
                <w:p>
                  <w:pPr>
                    <w:pStyle w:val="null3"/>
                    <w:jc w:val="center"/>
                  </w:pPr>
                </w:p>
              </w:tc>
            </w:tr>
            <w:tr>
              <w:tc>
                <w:tcPr>
                  <w:tcW w:type="dxa" w:w="1052"/>
                  <w:vMerge/>
                  <w:tcBorders>
                    <w:top w:val="none" w:color="000000" w:sz="4"/>
                    <w:left w:val="single" w:color="000000" w:sz="8"/>
                    <w:bottom w:val="non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18"/>
                      <w:color w:val="000000"/>
                    </w:rPr>
                    <w:t>成果文件交付</w:t>
                  </w:r>
                </w:p>
              </w:tc>
              <w:tc>
                <w:tcPr>
                  <w:tcW w:type="dxa" w:w="223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pPr>
                  <w:r>
                    <w:rPr>
                      <w:sz w:val="18"/>
                      <w:color w:val="000000"/>
                    </w:rPr>
                    <w:t>（</w:t>
                  </w:r>
                  <w:r>
                    <w:rPr>
                      <w:sz w:val="18"/>
                      <w:color w:val="000000"/>
                    </w:rPr>
                    <w:t>1</w:t>
                  </w:r>
                  <w:r>
                    <w:rPr>
                      <w:sz w:val="18"/>
                      <w:color w:val="000000"/>
                    </w:rPr>
                    <w:t>）</w:t>
                  </w:r>
                  <w:r>
                    <w:rPr>
                      <w:sz w:val="18"/>
                      <w:color w:val="000000"/>
                    </w:rPr>
                    <w:t>交付及时性：在约定的服务期限内，及时整理并提交咨询成果；</w:t>
                  </w:r>
                </w:p>
                <w:p>
                  <w:pPr>
                    <w:pStyle w:val="null3"/>
                  </w:pPr>
                  <w:r>
                    <w:rPr>
                      <w:sz w:val="18"/>
                      <w:color w:val="000000"/>
                    </w:rPr>
                    <w:t>（</w:t>
                  </w:r>
                  <w:r>
                    <w:rPr>
                      <w:sz w:val="18"/>
                      <w:color w:val="000000"/>
                    </w:rPr>
                    <w:t>2</w:t>
                  </w:r>
                  <w:r>
                    <w:rPr>
                      <w:sz w:val="18"/>
                      <w:color w:val="000000"/>
                    </w:rPr>
                    <w:t>）交付完整性：在约定的服务期限内，完整交付所形成的咨询成果；</w:t>
                  </w:r>
                </w:p>
                <w:p>
                  <w:pPr>
                    <w:pStyle w:val="null3"/>
                  </w:pPr>
                  <w:r>
                    <w:rPr>
                      <w:sz w:val="18"/>
                      <w:color w:val="000000"/>
                    </w:rPr>
                    <w:t>（</w:t>
                  </w:r>
                  <w:r>
                    <w:rPr>
                      <w:sz w:val="18"/>
                      <w:color w:val="000000"/>
                    </w:rPr>
                    <w:t>3</w:t>
                  </w:r>
                  <w:r>
                    <w:rPr>
                      <w:sz w:val="18"/>
                      <w:color w:val="000000"/>
                    </w:rPr>
                    <w:t>）交付质量：提交的咨询成果可覆盖合同所约定的服务范围，并具有准确性、合理性、可行性；</w:t>
                  </w:r>
                </w:p>
                <w:p>
                  <w:pPr>
                    <w:pStyle w:val="null3"/>
                  </w:pPr>
                  <w:r>
                    <w:rPr>
                      <w:sz w:val="18"/>
                      <w:color w:val="000000"/>
                    </w:rPr>
                    <w:t>（</w:t>
                  </w:r>
                  <w:r>
                    <w:rPr>
                      <w:sz w:val="18"/>
                      <w:color w:val="000000"/>
                    </w:rPr>
                    <w:t>4</w:t>
                  </w:r>
                  <w:r>
                    <w:rPr>
                      <w:sz w:val="18"/>
                      <w:color w:val="000000"/>
                    </w:rPr>
                    <w:t>）交付格式：提交的咨询成果符合合同及相关规范、标准的要求，并易于阅读与理解。</w:t>
                  </w:r>
                </w:p>
                <w:p>
                  <w:pPr>
                    <w:pStyle w:val="null3"/>
                  </w:pPr>
                  <w:r>
                    <w:rPr>
                      <w:sz w:val="18"/>
                      <w:color w:val="000000"/>
                    </w:rPr>
                    <w:t>上述各项分别进行评分，每项满分为</w:t>
                  </w:r>
                  <w:r>
                    <w:rPr>
                      <w:sz w:val="18"/>
                      <w:color w:val="000000"/>
                    </w:rPr>
                    <w:t>5</w:t>
                  </w:r>
                  <w:r>
                    <w:rPr>
                      <w:sz w:val="18"/>
                      <w:color w:val="000000"/>
                    </w:rPr>
                    <w:t>分，</w:t>
                  </w:r>
                  <w:r>
                    <w:rPr>
                      <w:sz w:val="18"/>
                      <w:color w:val="000000"/>
                    </w:rPr>
                    <w:t>5</w:t>
                  </w:r>
                  <w:r>
                    <w:rPr>
                      <w:sz w:val="18"/>
                      <w:color w:val="000000"/>
                    </w:rPr>
                    <w:t>分“很满意”，</w:t>
                  </w:r>
                  <w:r>
                    <w:rPr>
                      <w:sz w:val="18"/>
                      <w:color w:val="000000"/>
                    </w:rPr>
                    <w:t>4</w:t>
                  </w:r>
                  <w:r>
                    <w:rPr>
                      <w:sz w:val="18"/>
                      <w:color w:val="000000"/>
                    </w:rPr>
                    <w:t>分“满意”。</w:t>
                  </w:r>
                  <w:r>
                    <w:rPr>
                      <w:sz w:val="18"/>
                      <w:color w:val="000000"/>
                    </w:rPr>
                    <w:t>3</w:t>
                  </w:r>
                  <w:r>
                    <w:rPr>
                      <w:sz w:val="18"/>
                      <w:color w:val="000000"/>
                    </w:rPr>
                    <w:t>分“基本满意”，</w:t>
                  </w:r>
                  <w:r>
                    <w:rPr>
                      <w:sz w:val="18"/>
                      <w:color w:val="000000"/>
                    </w:rPr>
                    <w:t>2</w:t>
                  </w:r>
                  <w:r>
                    <w:rPr>
                      <w:sz w:val="18"/>
                      <w:color w:val="000000"/>
                    </w:rPr>
                    <w:t>分“不满意”，</w:t>
                  </w:r>
                  <w:r>
                    <w:rPr>
                      <w:sz w:val="18"/>
                      <w:color w:val="000000"/>
                    </w:rPr>
                    <w:t>0~1</w:t>
                  </w:r>
                  <w:r>
                    <w:rPr>
                      <w:sz w:val="18"/>
                      <w:color w:val="000000"/>
                    </w:rPr>
                    <w:t>分“很不满意”。</w:t>
                  </w:r>
                </w:p>
              </w:tc>
              <w:tc>
                <w:tcPr>
                  <w:tcW w:type="dxa" w:w="634"/>
                  <w:tcBorders>
                    <w:top w:val="none" w:color="000000" w:sz="4"/>
                    <w:left w:val="none" w:color="000000" w:sz="4"/>
                    <w:bottom w:val="single" w:color="000000" w:sz="4"/>
                    <w:right w:val="single" w:color="000000" w:sz="8"/>
                  </w:tcBorders>
                  <w:tcMar>
                    <w:top w:type="dxa" w:w="0"/>
                    <w:left w:type="dxa" w:w="60"/>
                    <w:bottom w:type="dxa" w:w="0"/>
                    <w:right w:type="dxa" w:w="60"/>
                  </w:tcMar>
                  <w:vAlign w:val="top"/>
                </w:tcPr>
                <w:p>
                  <w:pPr>
                    <w:pStyle w:val="null3"/>
                    <w:jc w:val="center"/>
                  </w:pPr>
                  <w:r>
                    <w:rPr>
                      <w:sz w:val="18"/>
                      <w:color w:val="000000"/>
                    </w:rPr>
                    <w:t>20</w:t>
                  </w:r>
                </w:p>
              </w:tc>
              <w:tc>
                <w:tcPr>
                  <w:tcW w:type="dxa" w:w="634"/>
                  <w:tcBorders>
                    <w:top w:val="none" w:color="000000" w:sz="4"/>
                    <w:left w:val="single" w:color="000000" w:sz="4"/>
                    <w:bottom w:val="single" w:color="000000" w:sz="4"/>
                    <w:right w:val="single" w:color="000000" w:sz="8"/>
                  </w:tcBorders>
                  <w:tcMar>
                    <w:top w:type="dxa" w:w="0"/>
                    <w:left w:type="dxa" w:w="60"/>
                    <w:bottom w:type="dxa" w:w="0"/>
                    <w:right w:type="dxa" w:w="60"/>
                  </w:tcMar>
                  <w:vAlign w:val="top"/>
                </w:tcPr>
                <w:p>
                  <w:pPr>
                    <w:pStyle w:val="null3"/>
                    <w:jc w:val="center"/>
                  </w:pPr>
                </w:p>
              </w:tc>
            </w:tr>
            <w:tr>
              <w:tc>
                <w:tcPr>
                  <w:tcW w:type="dxa" w:w="1052"/>
                  <w:vMerge w:val="restart"/>
                  <w:tcBorders>
                    <w:top w:val="none" w:color="000000" w:sz="4"/>
                    <w:left w:val="single" w:color="000000" w:sz="8"/>
                    <w:bottom w:val="none" w:color="000000" w:sz="4"/>
                    <w:right w:val="single" w:color="000000" w:sz="4"/>
                  </w:tcBorders>
                  <w:tcMar>
                    <w:top w:type="dxa" w:w="0"/>
                    <w:left w:type="dxa" w:w="60"/>
                    <w:bottom w:type="dxa" w:w="0"/>
                    <w:right w:type="dxa" w:w="60"/>
                  </w:tcMar>
                  <w:vAlign w:val="top"/>
                </w:tcPr>
                <w:p>
                  <w:pPr>
                    <w:pStyle w:val="null3"/>
                    <w:jc w:val="center"/>
                  </w:pPr>
                  <w:r>
                    <w:rPr>
                      <w:sz w:val="18"/>
                      <w:color w:val="000000"/>
                    </w:rPr>
                    <w:t>项目成果效益（</w:t>
                  </w:r>
                  <w:r>
                    <w:rPr>
                      <w:sz w:val="18"/>
                      <w:color w:val="000000"/>
                    </w:rPr>
                    <w:t>10</w:t>
                  </w:r>
                  <w:r>
                    <w:rPr>
                      <w:sz w:val="18"/>
                      <w:color w:val="000000"/>
                    </w:rPr>
                    <w:t>分）</w:t>
                  </w:r>
                </w:p>
              </w:tc>
              <w:tc>
                <w:tcPr>
                  <w:tcW w:type="dxa" w:w="10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18"/>
                      <w:color w:val="000000"/>
                    </w:rPr>
                    <w:t>工程效益</w:t>
                  </w:r>
                </w:p>
              </w:tc>
              <w:tc>
                <w:tcPr>
                  <w:tcW w:type="dxa" w:w="223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pPr>
                  <w:r>
                    <w:rPr>
                      <w:sz w:val="18"/>
                      <w:color w:val="000000"/>
                    </w:rPr>
                    <w:t>据咨询服务对本项目涉及的工程在建设质量、实施成效等方面的正向促进作用进行评分；</w:t>
                  </w:r>
                  <w:r>
                    <w:rPr>
                      <w:sz w:val="18"/>
                      <w:color w:val="000000"/>
                    </w:rPr>
                    <w:t>5</w:t>
                  </w:r>
                  <w:r>
                    <w:rPr>
                      <w:sz w:val="18"/>
                      <w:color w:val="000000"/>
                    </w:rPr>
                    <w:t>分“很满意”，</w:t>
                  </w:r>
                  <w:r>
                    <w:rPr>
                      <w:sz w:val="18"/>
                      <w:color w:val="000000"/>
                    </w:rPr>
                    <w:t>4</w:t>
                  </w:r>
                  <w:r>
                    <w:rPr>
                      <w:sz w:val="18"/>
                      <w:color w:val="000000"/>
                    </w:rPr>
                    <w:t>分“满意”。</w:t>
                  </w:r>
                  <w:r>
                    <w:rPr>
                      <w:sz w:val="18"/>
                      <w:color w:val="000000"/>
                    </w:rPr>
                    <w:t>3</w:t>
                  </w:r>
                  <w:r>
                    <w:rPr>
                      <w:sz w:val="18"/>
                      <w:color w:val="000000"/>
                    </w:rPr>
                    <w:t>分“基本满意”，</w:t>
                  </w:r>
                  <w:r>
                    <w:rPr>
                      <w:sz w:val="18"/>
                      <w:color w:val="000000"/>
                    </w:rPr>
                    <w:t>2</w:t>
                  </w:r>
                  <w:r>
                    <w:rPr>
                      <w:sz w:val="18"/>
                      <w:color w:val="000000"/>
                    </w:rPr>
                    <w:t>分“不满意”，</w:t>
                  </w:r>
                  <w:r>
                    <w:rPr>
                      <w:sz w:val="18"/>
                      <w:color w:val="000000"/>
                    </w:rPr>
                    <w:t>0~1</w:t>
                  </w:r>
                  <w:r>
                    <w:rPr>
                      <w:sz w:val="18"/>
                      <w:color w:val="000000"/>
                    </w:rPr>
                    <w:t>分“很不满意”。</w:t>
                  </w:r>
                </w:p>
              </w:tc>
              <w:tc>
                <w:tcPr>
                  <w:tcW w:type="dxa" w:w="634"/>
                  <w:tcBorders>
                    <w:top w:val="none" w:color="000000" w:sz="4"/>
                    <w:left w:val="none" w:color="000000" w:sz="4"/>
                    <w:bottom w:val="single" w:color="000000" w:sz="4"/>
                    <w:right w:val="single" w:color="000000" w:sz="8"/>
                  </w:tcBorders>
                  <w:tcMar>
                    <w:top w:type="dxa" w:w="0"/>
                    <w:left w:type="dxa" w:w="60"/>
                    <w:bottom w:type="dxa" w:w="0"/>
                    <w:right w:type="dxa" w:w="60"/>
                  </w:tcMar>
                  <w:vAlign w:val="top"/>
                </w:tcPr>
                <w:p>
                  <w:pPr>
                    <w:pStyle w:val="null3"/>
                    <w:jc w:val="center"/>
                  </w:pPr>
                  <w:r>
                    <w:rPr>
                      <w:sz w:val="18"/>
                      <w:color w:val="000000"/>
                    </w:rPr>
                    <w:t>5</w:t>
                  </w:r>
                </w:p>
              </w:tc>
              <w:tc>
                <w:tcPr>
                  <w:tcW w:type="dxa" w:w="634"/>
                  <w:tcBorders>
                    <w:top w:val="none" w:color="000000" w:sz="4"/>
                    <w:left w:val="single" w:color="000000" w:sz="4"/>
                    <w:bottom w:val="single" w:color="000000" w:sz="4"/>
                    <w:right w:val="single" w:color="000000" w:sz="8"/>
                  </w:tcBorders>
                  <w:tcMar>
                    <w:top w:type="dxa" w:w="0"/>
                    <w:left w:type="dxa" w:w="60"/>
                    <w:bottom w:type="dxa" w:w="0"/>
                    <w:right w:type="dxa" w:w="60"/>
                  </w:tcMar>
                  <w:vAlign w:val="top"/>
                </w:tcPr>
                <w:p>
                  <w:pPr>
                    <w:pStyle w:val="null3"/>
                    <w:jc w:val="center"/>
                  </w:pPr>
                </w:p>
              </w:tc>
            </w:tr>
            <w:tr>
              <w:tc>
                <w:tcPr>
                  <w:tcW w:type="dxa" w:w="1052"/>
                  <w:vMerge/>
                  <w:tcBorders>
                    <w:top w:val="none" w:color="000000" w:sz="4"/>
                    <w:left w:val="single" w:color="000000" w:sz="8"/>
                    <w:bottom w:val="non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18"/>
                      <w:color w:val="000000"/>
                    </w:rPr>
                    <w:t>环境效益</w:t>
                  </w:r>
                </w:p>
              </w:tc>
              <w:tc>
                <w:tcPr>
                  <w:tcW w:type="dxa" w:w="223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pPr>
                  <w:r>
                    <w:rPr>
                      <w:sz w:val="18"/>
                      <w:color w:val="000000"/>
                    </w:rPr>
                    <w:t>据咨询服务对本项目涉及的环境达标的正向促进作用进行评分；</w:t>
                  </w:r>
                  <w:r>
                    <w:rPr>
                      <w:sz w:val="18"/>
                      <w:color w:val="000000"/>
                    </w:rPr>
                    <w:t>5</w:t>
                  </w:r>
                  <w:r>
                    <w:rPr>
                      <w:sz w:val="18"/>
                      <w:color w:val="000000"/>
                    </w:rPr>
                    <w:t>分“很满意”，</w:t>
                  </w:r>
                  <w:r>
                    <w:rPr>
                      <w:sz w:val="18"/>
                      <w:color w:val="000000"/>
                    </w:rPr>
                    <w:t>4</w:t>
                  </w:r>
                  <w:r>
                    <w:rPr>
                      <w:sz w:val="18"/>
                      <w:color w:val="000000"/>
                    </w:rPr>
                    <w:t>分“满意”。</w:t>
                  </w:r>
                  <w:r>
                    <w:rPr>
                      <w:sz w:val="18"/>
                      <w:color w:val="000000"/>
                    </w:rPr>
                    <w:t>3</w:t>
                  </w:r>
                  <w:r>
                    <w:rPr>
                      <w:sz w:val="18"/>
                      <w:color w:val="000000"/>
                    </w:rPr>
                    <w:t>分“基本满意”，</w:t>
                  </w:r>
                  <w:r>
                    <w:rPr>
                      <w:sz w:val="18"/>
                      <w:color w:val="000000"/>
                    </w:rPr>
                    <w:t>2</w:t>
                  </w:r>
                  <w:r>
                    <w:rPr>
                      <w:sz w:val="18"/>
                      <w:color w:val="000000"/>
                    </w:rPr>
                    <w:t>分“不满意”，</w:t>
                  </w:r>
                  <w:r>
                    <w:rPr>
                      <w:sz w:val="18"/>
                      <w:color w:val="000000"/>
                    </w:rPr>
                    <w:t>0~1</w:t>
                  </w:r>
                  <w:r>
                    <w:rPr>
                      <w:sz w:val="18"/>
                      <w:color w:val="000000"/>
                    </w:rPr>
                    <w:t>分“很不满意”。</w:t>
                  </w:r>
                </w:p>
              </w:tc>
              <w:tc>
                <w:tcPr>
                  <w:tcW w:type="dxa" w:w="634"/>
                  <w:tcBorders>
                    <w:top w:val="none" w:color="000000" w:sz="4"/>
                    <w:left w:val="none" w:color="000000" w:sz="4"/>
                    <w:bottom w:val="single" w:color="000000" w:sz="4"/>
                    <w:right w:val="single" w:color="000000" w:sz="8"/>
                  </w:tcBorders>
                  <w:tcMar>
                    <w:top w:type="dxa" w:w="0"/>
                    <w:left w:type="dxa" w:w="60"/>
                    <w:bottom w:type="dxa" w:w="0"/>
                    <w:right w:type="dxa" w:w="60"/>
                  </w:tcMar>
                  <w:vAlign w:val="top"/>
                </w:tcPr>
                <w:p>
                  <w:pPr>
                    <w:pStyle w:val="null3"/>
                    <w:jc w:val="center"/>
                  </w:pPr>
                  <w:r>
                    <w:rPr>
                      <w:sz w:val="18"/>
                      <w:color w:val="000000"/>
                    </w:rPr>
                    <w:t>5</w:t>
                  </w:r>
                </w:p>
              </w:tc>
              <w:tc>
                <w:tcPr>
                  <w:tcW w:type="dxa" w:w="634"/>
                  <w:tcBorders>
                    <w:top w:val="none" w:color="000000" w:sz="4"/>
                    <w:left w:val="single" w:color="000000" w:sz="4"/>
                    <w:bottom w:val="single" w:color="000000" w:sz="4"/>
                    <w:right w:val="single" w:color="000000" w:sz="8"/>
                  </w:tcBorders>
                  <w:tcMar>
                    <w:top w:type="dxa" w:w="0"/>
                    <w:left w:type="dxa" w:w="60"/>
                    <w:bottom w:type="dxa" w:w="0"/>
                    <w:right w:type="dxa" w:w="60"/>
                  </w:tcMar>
                  <w:vAlign w:val="top"/>
                </w:tcPr>
                <w:p>
                  <w:pPr>
                    <w:pStyle w:val="null3"/>
                    <w:jc w:val="center"/>
                  </w:pPr>
                </w:p>
              </w:tc>
            </w:tr>
            <w:tr>
              <w:tc>
                <w:tcPr>
                  <w:tcW w:type="dxa" w:w="1052"/>
                  <w:tcBorders>
                    <w:top w:val="none" w:color="000000" w:sz="4"/>
                    <w:left w:val="single" w:color="000000" w:sz="8"/>
                    <w:bottom w:val="single" w:color="000000" w:sz="4"/>
                    <w:right w:val="single" w:color="000000" w:sz="4"/>
                  </w:tcBorders>
                  <w:tcMar>
                    <w:top w:type="dxa" w:w="0"/>
                    <w:left w:type="dxa" w:w="60"/>
                    <w:bottom w:type="dxa" w:w="0"/>
                    <w:right w:type="dxa" w:w="60"/>
                  </w:tcMar>
                  <w:vAlign w:val="top"/>
                </w:tcPr>
                <w:p>
                  <w:pPr>
                    <w:pStyle w:val="null3"/>
                  </w:pPr>
                  <w:r>
                    <w:rPr>
                      <w:sz w:val="18"/>
                      <w:color w:val="000000"/>
                    </w:rPr>
                    <w:t xml:space="preserve">        合计</w:t>
                  </w:r>
                </w:p>
              </w:tc>
              <w:tc>
                <w:tcPr>
                  <w:tcW w:type="dxa" w:w="102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p>
              </w:tc>
              <w:tc>
                <w:tcPr>
                  <w:tcW w:type="dxa" w:w="2232"/>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tc>
              <w:tc>
                <w:tcPr>
                  <w:tcW w:type="dxa" w:w="634"/>
                  <w:tcBorders>
                    <w:top w:val="none" w:color="000000" w:sz="4"/>
                    <w:left w:val="none" w:color="000000" w:sz="4"/>
                    <w:bottom w:val="single" w:color="000000" w:sz="4"/>
                    <w:right w:val="single" w:color="000000" w:sz="8"/>
                  </w:tcBorders>
                  <w:tcMar>
                    <w:top w:type="dxa" w:w="0"/>
                    <w:left w:type="dxa" w:w="60"/>
                    <w:bottom w:type="dxa" w:w="0"/>
                    <w:right w:type="dxa" w:w="60"/>
                  </w:tcMar>
                  <w:vAlign w:val="top"/>
                </w:tcPr>
                <w:p>
                  <w:pPr>
                    <w:pStyle w:val="null3"/>
                    <w:jc w:val="center"/>
                  </w:pPr>
                  <w:r>
                    <w:rPr>
                      <w:sz w:val="18"/>
                      <w:color w:val="000000"/>
                    </w:rPr>
                    <w:t>100</w:t>
                  </w:r>
                </w:p>
              </w:tc>
              <w:tc>
                <w:tcPr>
                  <w:tcW w:type="dxa" w:w="634"/>
                  <w:tcBorders>
                    <w:top w:val="none" w:color="000000" w:sz="4"/>
                    <w:left w:val="single" w:color="000000" w:sz="4"/>
                    <w:bottom w:val="single" w:color="000000" w:sz="4"/>
                    <w:right w:val="single" w:color="000000" w:sz="8"/>
                  </w:tcBorders>
                  <w:tcMar>
                    <w:top w:type="dxa" w:w="0"/>
                    <w:left w:type="dxa" w:w="60"/>
                    <w:bottom w:type="dxa" w:w="0"/>
                    <w:right w:type="dxa" w:w="60"/>
                  </w:tcMar>
                  <w:vAlign w:val="top"/>
                </w:tcPr>
                <w:p>
                  <w:pPr>
                    <w:pStyle w:val="null3"/>
                    <w:jc w:val="center"/>
                  </w:pPr>
                </w:p>
              </w:tc>
            </w:tr>
          </w:tbl>
          <w:p>
            <w:pPr>
              <w:pStyle w:val="null3"/>
            </w:pPr>
            <w:r>
              <w:rPr>
                <w:sz w:val="24"/>
                <w:b/>
              </w:rPr>
              <w:t>考核人（签名）：</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1.采购代理机构：本项目是指广东邦晟招标代理有限公司，负责整个采购活动的组织，依法负责编制和发布招标文件，对招标文件拥有最终的解释权，不以任何身份出任评标委员会成员。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普宁市住房和城乡建设局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采购机构代理服务收费标准：参照《国家计委关于印发〈招标代理服务费收费标准管理暂行办法〉的通知》（计价格[2002]1980号）的规定执行，本项目类型为服务类。</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广东邦晟招标代理有限公司</w:t>
      </w:r>
      <w:r>
        <w:rPr/>
        <w:t>代收。具体操作要求详见</w:t>
      </w:r>
      <w:r>
        <w:rPr/>
        <w:t>广东邦晟招标代理有限公司</w:t>
      </w:r>
      <w:r>
        <w:rPr/>
        <w:t>有关指引，递交事宜请自行咨询</w:t>
      </w:r>
      <w:r>
        <w:rPr/>
        <w:t>广东邦晟招标代理有限公司</w:t>
      </w:r>
      <w:r>
        <w:rPr/>
        <w:t>；请各投标人在投标文件递交截止时间前按须知前附表规定的金额递交至</w:t>
      </w:r>
      <w:r>
        <w:rPr/>
        <w:t>广东邦晟招标代理有限公司</w:t>
      </w:r>
      <w:r>
        <w:rPr/>
        <w:t>，到账情况以开标时</w:t>
      </w:r>
      <w:r>
        <w:rPr/>
        <w:t>广东邦晟招标代理有限公司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0663-2119336</w:t>
      </w:r>
    </w:p>
    <w:p>
      <w:pPr>
        <w:pStyle w:val="null3"/>
        <w:ind w:firstLine="480"/>
      </w:pPr>
      <w:r>
        <w:rPr/>
        <w:t>传真：</w:t>
      </w:r>
      <w:r>
        <w:rPr/>
        <w:t>/</w:t>
      </w:r>
    </w:p>
    <w:p>
      <w:pPr>
        <w:pStyle w:val="null3"/>
        <w:ind w:firstLine="480"/>
      </w:pPr>
      <w:r>
        <w:rPr/>
        <w:t>邮箱：</w:t>
      </w:r>
      <w:r>
        <w:rPr/>
        <w:t>gdbszbdl@163.com</w:t>
      </w:r>
    </w:p>
    <w:p>
      <w:pPr>
        <w:pStyle w:val="null3"/>
        <w:ind w:firstLine="480"/>
      </w:pPr>
      <w:r>
        <w:rPr/>
        <w:t>地址：</w:t>
      </w:r>
      <w:r>
        <w:rPr/>
        <w:t>广东省揭阳市普宁市流沙北街道南园村瑞安里东片4巷3号第4层</w:t>
      </w:r>
    </w:p>
    <w:p>
      <w:pPr>
        <w:pStyle w:val="null3"/>
        <w:ind w:firstLine="480"/>
      </w:pPr>
      <w:r>
        <w:rPr/>
        <w:t>邮编：</w:t>
      </w:r>
      <w:r>
        <w:rPr/>
        <w:t>515300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政府采购监督管理机构名称：普宁市财政局政府采购管理股</w:t>
      </w:r>
    </w:p>
    <w:p>
      <w:pPr>
        <w:pStyle w:val="null3"/>
      </w:pPr>
      <w:r>
        <w:rPr/>
        <w:t>地 址：广东省普宁市流沙西街道南平里11幢</w:t>
      </w:r>
    </w:p>
    <w:p>
      <w:pPr>
        <w:pStyle w:val="null3"/>
      </w:pPr>
      <w:r>
        <w:rPr/>
        <w:t>电 话：0663-2253011</w:t>
      </w:r>
    </w:p>
    <w:p>
      <w:pPr>
        <w:pStyle w:val="null3"/>
      </w:pPr>
      <w:r>
        <w:rPr/>
        <w:t>邮 编：515300</w:t>
      </w:r>
    </w:p>
    <w:p>
      <w:pPr>
        <w:pStyle w:val="null3"/>
      </w:pPr>
      <w:r>
        <w:rPr/>
        <w:t>传 真：0663-2218899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普宁市城区黑臭水体治理、练江一期项目整改、练江二期项目收尾等咨询服务（2025年度）)：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广东邦晟招标代理有限公司</w:t>
      </w:r>
      <w:r>
        <w:rPr/>
        <w:t>统一对外发布。</w:t>
      </w:r>
    </w:p>
    <w:p>
      <w:pPr>
        <w:pStyle w:val="null3"/>
        <w:ind w:firstLine="480"/>
      </w:pPr>
      <w:r>
        <w:rPr/>
        <w:t>（2）对</w:t>
      </w:r>
      <w:r>
        <w:rPr/>
        <w:t>广东邦晟招标代理有限公司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采购包1（普宁市城区黑臭水体治理、练江一期项目整改、练江二期项目收尾等咨询服务（2025年度））：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采购包1（普宁市城区黑臭水体治理、练江一期项目整改、练江二期项目收尾等咨询服务（2025年度））：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提供投标截止日前6个月内任意1个月依法缴纳税收和社会保障资金的相关材料。如依法免税或不需要缴纳社会保障资金的，提供相应证明材料；或投标时提供《资格承诺函》，可参照公告附件格式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报表）复印件或基本开户行出具的资信证明），投标人为新成立的，提供成立至今的月或季度财务报告（或报表）复印件；或投标时提供《资格承诺函》，可参照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投标时提供《资格承诺函》，可参照公告附件格式</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采购包1（普宁市城区黑臭水体治理、练江一期项目整改、练江二期项目收尾等咨询服务（2025年度））：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投标报价唯一，不高于采购人需求规定的预算金额或最高限价，或投标报价没有明显低于其他通过符合性审查投标人的报价。</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符合招标文件的签署、盖章要求。</w:t>
            </w:r>
          </w:p>
        </w:tc>
      </w:tr>
      <w:tr>
        <w:tc>
          <w:tcPr>
            <w:tcW w:type="dxa" w:w="890"/>
          </w:tcPr>
          <w:p>
            <w:pPr>
              <w:pStyle w:val="null3"/>
            </w:pPr>
            <w:r>
              <w:rPr/>
              <w:t>3</w:t>
            </w:r>
          </w:p>
        </w:tc>
        <w:tc>
          <w:tcPr>
            <w:tcW w:type="dxa" w:w="3178"/>
          </w:tcPr>
          <w:p>
            <w:pPr>
              <w:pStyle w:val="null3"/>
            </w:pPr>
            <w:r>
              <w:rPr/>
              <w:t>法定代表人证明和授权证明</w:t>
            </w:r>
          </w:p>
        </w:tc>
        <w:tc>
          <w:tcPr>
            <w:tcW w:type="dxa" w:w="4238"/>
          </w:tcPr>
          <w:p>
            <w:pPr>
              <w:pStyle w:val="null3"/>
            </w:pPr>
            <w:r>
              <w:rPr/>
              <w:t>按招标文件要求提供《法定代表人/负责人资格证明书》，若有授权时须同时提供《法定代表人/负责人授权委托书》的。</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符合招标文件投标有效期要求的。</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满足招标文件中带★号的条款和指标，且符合招标文件的其他要求，没有重大偏离的。</w:t>
            </w:r>
          </w:p>
        </w:tc>
      </w:tr>
      <w:tr>
        <w:tc>
          <w:tcPr>
            <w:tcW w:type="dxa" w:w="890"/>
          </w:tcPr>
          <w:p>
            <w:pPr>
              <w:pStyle w:val="null3"/>
            </w:pPr>
            <w:r>
              <w:rPr/>
              <w:t>6</w:t>
            </w:r>
          </w:p>
        </w:tc>
        <w:tc>
          <w:tcPr>
            <w:tcW w:type="dxa" w:w="3178"/>
          </w:tcPr>
          <w:p>
            <w:pPr>
              <w:pStyle w:val="null3"/>
            </w:pPr>
            <w:r>
              <w:rPr/>
              <w:t>未发现无效投标的其他情形的</w:t>
            </w:r>
          </w:p>
        </w:tc>
        <w:tc>
          <w:tcPr>
            <w:tcW w:type="dxa" w:w="4238"/>
          </w:tcPr>
          <w:p>
            <w:pPr>
              <w:pStyle w:val="null3"/>
            </w:pPr>
            <w:r>
              <w:rPr/>
              <w:t>（1）评标期间，投标人没有按评标委员会的要求提交经授权代表签字的澄清、说明、补正或改变了投标文件的实质性内容的；（2）经评标委员会认定投标文件提供虚假材料的；（3）投标人以他人的名义投标、串通投标、以行贿手段谋取中标或者以其他弄虚作假方式投标的；（4）投标人对采购人、采购代理机构、评标委员会及其工作人员施加影响，有碍招标公平、公正的；（5）投标文件附有采购人不能接受的条件；（6）出现不符合相关法律、法规要求的情况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采购包1(普宁市城区黑臭水体治理、练江一期项目整改、练江二期项目收尾等咨询服务（2025年度）):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p>
        </w:tc>
        <w:tc>
          <w:tcPr>
            <w:tcW w:type="dxa" w:w="5076"/>
          </w:tcPr>
          <w:p>
            <w:pPr>
              <w:pStyle w:val="null3"/>
              <w:jc w:val="left"/>
            </w:pPr>
            <w:r>
              <w:rPr/>
              <w:t>完全满足或优于采购人需求中技术要求的参数（条款）的得满分；若参数（条款）未响应或不满足的，每项负偏离扣1分，扣完为止。</w:t>
            </w:r>
          </w:p>
        </w:tc>
      </w:tr>
      <w:tr>
        <w:tc>
          <w:tcPr>
            <w:tcW w:type="dxa" w:w="922"/>
            <w:gridSpan w:val="2"/>
            <w:vMerge/>
          </w:tcPr>
          <w:p/>
        </w:tc>
        <w:tc>
          <w:tcPr>
            <w:tcW w:type="dxa" w:w="2307"/>
          </w:tcPr>
          <w:p>
            <w:pPr>
              <w:pStyle w:val="null3"/>
              <w:jc w:val="left"/>
            </w:pPr>
            <w:r>
              <w:rPr/>
              <w:t>项目理解方案 (15.0分)</w:t>
            </w:r>
          </w:p>
        </w:tc>
        <w:tc>
          <w:tcPr>
            <w:tcW w:type="dxa" w:w="5076"/>
          </w:tcPr>
          <w:p>
            <w:pPr>
              <w:pStyle w:val="null3"/>
              <w:jc w:val="left"/>
            </w:pPr>
            <w:r>
              <w:rPr/>
              <w:t>根据投标人针对本项目所提供的项目理解方案，包括对本项目咨询内容的前期调查工作、项目目标、工作任务、要求理解等内容进行评审： 1、投标人对本咨询项目的任务、目标以及其他要求的理解非常到位，完全能够有利于项目实施的，得15分； 2、投标人对本咨询项目的任务、目标以及其他要求的理解较到位，较有利于项目实施的，得10分； 3、投标人对本咨询项目的任务、目标及其他要求的理解基本到位，基本有利于项目实施的，得5分； 4、投标人对本咨询项目的任务、目标以及其他要求的理解描述不够到位，仅部分有利于项目实施的，得1分； 5、没有编制方案的不得分。</w:t>
            </w:r>
          </w:p>
        </w:tc>
      </w:tr>
      <w:tr>
        <w:tc>
          <w:tcPr>
            <w:tcW w:type="dxa" w:w="922"/>
            <w:gridSpan w:val="2"/>
            <w:vMerge/>
          </w:tcPr>
          <w:p/>
        </w:tc>
        <w:tc>
          <w:tcPr>
            <w:tcW w:type="dxa" w:w="2307"/>
          </w:tcPr>
          <w:p>
            <w:pPr>
              <w:pStyle w:val="null3"/>
              <w:jc w:val="left"/>
            </w:pPr>
            <w:r>
              <w:rPr/>
              <w:t>项目现状分析研判方案 (15.0分)</w:t>
            </w:r>
          </w:p>
        </w:tc>
        <w:tc>
          <w:tcPr>
            <w:tcW w:type="dxa" w:w="5076"/>
          </w:tcPr>
          <w:p>
            <w:pPr>
              <w:pStyle w:val="null3"/>
              <w:jc w:val="left"/>
            </w:pPr>
            <w:r>
              <w:rPr/>
              <w:t>根据投标人针对本项目所提供的项目现状分析研判方案，包括对本项目区域特征分析、总体技术路线的理解、项目服务内容的分析研判等内容进行评审： 1、投标人对区域特征分析及项目服务内容的分析研判非常到位、总体技术路线非常详实，完全有利于项目实施的，得15分； 2、投标人对区域特征分析及项目服务内容的分析研判较到位、路线较详实，较有利于项目实施的，得10分； 3、投标人对区域特征分析及项目服务内容的分析研判基本到位、路线基本详实，基本有利于项目实施的，得5分； 4、投标人对区域特征分析及项目服务内容的分析研判部分到位、路线部分详实，仅部分有利于项目实施的，得1分； 5、没有编制方案的不得分。</w:t>
            </w:r>
          </w:p>
        </w:tc>
      </w:tr>
      <w:tr>
        <w:tc>
          <w:tcPr>
            <w:tcW w:type="dxa" w:w="922"/>
            <w:gridSpan w:val="2"/>
            <w:vMerge/>
          </w:tcPr>
          <w:p/>
        </w:tc>
        <w:tc>
          <w:tcPr>
            <w:tcW w:type="dxa" w:w="2307"/>
          </w:tcPr>
          <w:p>
            <w:pPr>
              <w:pStyle w:val="null3"/>
              <w:jc w:val="left"/>
            </w:pPr>
            <w:r>
              <w:rPr/>
              <w:t>项目技术方案 (15.0分)</w:t>
            </w:r>
          </w:p>
        </w:tc>
        <w:tc>
          <w:tcPr>
            <w:tcW w:type="dxa" w:w="5076"/>
          </w:tcPr>
          <w:p>
            <w:pPr>
              <w:pStyle w:val="null3"/>
              <w:jc w:val="left"/>
            </w:pPr>
            <w:r>
              <w:rPr/>
              <w:t>根据投标人针对本项目所提供的项目技术方案，（包括采购需求内的六项内容）进行评审： 1、投标人所提供项目技术方案，技术路线及思路阐述非常详细清晰，方案严谨合理、可行性高、完全满足且优于采购人需求的，得15分; 2、投标人所提供项目技术方案，技术路线及思路阐述较详细清晰，方案合理性和可行性良好、较满足采购人需求的，得10分; 3、投标人所提供项目技术方案，技术路线及思路阐述清晰度一般，方案基本合理、可行性一般，基本满足采购人需求的，得5分; 4、投标人所提供项目技术方案，技术路线及思路阐述不够详细清晰，方案合理性和可行性较差，不能够满足采购人需求的，得1分; 5、没有编制方案的不得分。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项目经验 (8.0分)</w:t>
            </w:r>
          </w:p>
        </w:tc>
        <w:tc>
          <w:tcPr>
            <w:tcW w:type="dxa" w:w="5076"/>
          </w:tcPr>
          <w:p>
            <w:pPr>
              <w:pStyle w:val="null3"/>
              <w:jc w:val="left"/>
            </w:pPr>
            <w:r>
              <w:rPr/>
              <w:t>自2020年至今投标人独立承担过同类相关项目经验的每个得2分，4个或以上此项得满分。 注：须提供相关的中标通知书或合同复印件，否则不得分。</w:t>
            </w:r>
          </w:p>
        </w:tc>
      </w:tr>
      <w:tr>
        <w:tc>
          <w:tcPr>
            <w:tcW w:type="dxa" w:w="922"/>
            <w:gridSpan w:val="2"/>
            <w:vMerge/>
          </w:tcPr>
          <w:p/>
        </w:tc>
        <w:tc>
          <w:tcPr>
            <w:tcW w:type="dxa" w:w="2307"/>
          </w:tcPr>
          <w:p>
            <w:pPr>
              <w:pStyle w:val="null3"/>
              <w:jc w:val="left"/>
            </w:pPr>
            <w:r>
              <w:rPr/>
              <w:t>综合实力 (6.0分)</w:t>
            </w:r>
          </w:p>
        </w:tc>
        <w:tc>
          <w:tcPr>
            <w:tcW w:type="dxa" w:w="5076"/>
          </w:tcPr>
          <w:p>
            <w:pPr>
              <w:pStyle w:val="null3"/>
              <w:jc w:val="left"/>
            </w:pPr>
            <w:r>
              <w:rPr/>
              <w:t>1、投标人具有有效的ISO9001（GB/T 19001）质量管理体系认证证书的，得2分； 2、投标人具有有效的ISO14001（GB/T 24001）环境管理体系认证证书的，得2分； 3、投标人具有有效的ISO45001（GB/T 45001）职业健康安全管理体系认证证书的，得2分； 注：提供证书复印件并加盖公章，证书须在有效期内。并提供在全国认证认可信息公共服务平台（www.cnca.cn）对体系证书的信息查询截图作为评审依据，已失效或撤销的不得分。</w:t>
            </w:r>
          </w:p>
        </w:tc>
      </w:tr>
      <w:tr>
        <w:tc>
          <w:tcPr>
            <w:tcW w:type="dxa" w:w="922"/>
            <w:gridSpan w:val="2"/>
            <w:vMerge/>
          </w:tcPr>
          <w:p/>
        </w:tc>
        <w:tc>
          <w:tcPr>
            <w:tcW w:type="dxa" w:w="2307"/>
          </w:tcPr>
          <w:p>
            <w:pPr>
              <w:pStyle w:val="null3"/>
              <w:jc w:val="left"/>
            </w:pPr>
            <w:r>
              <w:rPr/>
              <w:t>拟投入人员配置 (11.0分)</w:t>
            </w:r>
          </w:p>
        </w:tc>
        <w:tc>
          <w:tcPr>
            <w:tcW w:type="dxa" w:w="5076"/>
          </w:tcPr>
          <w:p>
            <w:pPr>
              <w:pStyle w:val="null3"/>
              <w:jc w:val="left"/>
            </w:pPr>
            <w:r>
              <w:rPr/>
              <w:t>1、投标人为本项目拟投入的项目负责人（仅限1人）具有给水排水设计正高级工程师或高级工程师（教授级）职称证书的，得6分；具有给水排水设计高级工程师职称证书的，得4分； 2、投标人拟投入的技术人员（项目负责人除外）中，具有（给排水、规划、结构、电气、造价）专业高级工程师职称证书的，每提供1名得1分，最高得5分。 注：以上如一人同时涵盖上述多个专业的，按一个专业评审；如一人具有多个不同等级职称的，按等级较高的职称评审，不重复计分，拟投入人员须提供相关有效职称证书及投标截止日前6个月内任意1个月投标人为其缴纳社保证明，复印件并加盖投标人公章，否则不得分。</w:t>
            </w:r>
          </w:p>
        </w:tc>
      </w:tr>
      <w:tr>
        <w:tc>
          <w:tcPr>
            <w:tcW w:type="dxa" w:w="922"/>
            <w:gridSpan w:val="2"/>
            <w:vMerge/>
          </w:tcPr>
          <w:p/>
        </w:tc>
        <w:tc>
          <w:tcPr>
            <w:tcW w:type="dxa" w:w="2307"/>
          </w:tcPr>
          <w:p>
            <w:pPr>
              <w:pStyle w:val="null3"/>
              <w:jc w:val="left"/>
            </w:pPr>
            <w:r>
              <w:rPr/>
              <w:t>工作进度及服务保障措施方案 (15.0分)</w:t>
            </w:r>
          </w:p>
        </w:tc>
        <w:tc>
          <w:tcPr>
            <w:tcW w:type="dxa" w:w="5076"/>
          </w:tcPr>
          <w:p>
            <w:pPr>
              <w:pStyle w:val="null3"/>
              <w:jc w:val="left"/>
            </w:pPr>
            <w:r>
              <w:rPr/>
              <w:t>根据投标人针对本项目所提供的工作进度及服务保障措施方案，包括对本项目进度计划、进度保证措施、完成期承诺、进度方案、保障通过相关验收的措施、解决问题的能力、各工作环节的时间节点控制、服务保障措施和质量控制方案等内容进行评审： 1、投标人所提供进度方案完全满足采购需求中的进度要求，服务保障措施和质量控制方案非常详细、严谨、合理、可行性高，完全满足且优于采购人需求的，得15分； 2、投标人所提供进度方案基本满足采购需求中的进度要求，服务保障措施和质量控制方案较严谨、合理性和可行性一般、较满足采购人需求的，得10分； 3、投标人所提供进度方案基本满足采购需求中的进度要求，服务保障措施和质量控制方案基本合理、基本满足采购人需求的，得5分； 4、投标人所提供进度方案部分满足采购需求中的进度要求，服务保障措施和质量控制方案合理性和可行性较差，不能够满足采购人需求的，得1分； 5、没有编制方案的不得分。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445281-2025-03330</w:t>
      </w:r>
    </w:p>
    <w:p>
      <w:pPr>
        <w:pStyle w:val="null3"/>
        <w:jc w:val="center"/>
        <w:outlineLvl w:val="3"/>
      </w:pPr>
      <w:r>
        <w:rPr>
          <w:sz w:val="24"/>
          <w:b/>
        </w:rPr>
        <w:t>采购项目编号：</w:t>
      </w:r>
      <w:r>
        <w:rPr>
          <w:sz w:val="24"/>
          <w:b/>
        </w:rPr>
        <w:t>BSZBDL202507001GD</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广东邦晟招标代理有限公司</w:t>
      </w:r>
    </w:p>
    <w:p>
      <w:pPr>
        <w:pStyle w:val="null3"/>
        <w:ind w:firstLine="480"/>
      </w:pPr>
      <w:r>
        <w:rPr/>
        <w:t xml:space="preserve"> 你方组织的</w:t>
      </w:r>
      <w:r>
        <w:rPr>
          <w:u w:val="single"/>
        </w:rPr>
        <w:t>“</w:t>
      </w:r>
      <w:r>
        <w:rPr>
          <w:u w:val="single"/>
        </w:rPr>
        <w:t>普宁市城区黑臭水体治理、练江一期项目整改、练江二期项目收尾等咨询服务（2025年度）</w:t>
      </w:r>
      <w:r>
        <w:rPr>
          <w:u w:val="single"/>
        </w:rPr>
        <w:t>”</w:t>
      </w:r>
      <w:r>
        <w:rPr/>
        <w:t>项目的招标[采购项目编号为：</w:t>
      </w:r>
      <w:r>
        <w:rPr>
          <w:u w:val="single"/>
        </w:rPr>
        <w:t>BSZBDL202507001GD</w:t>
      </w:r>
      <w:r>
        <w:rPr/>
        <w:t>]，我方愿参与投标。</w:t>
      </w:r>
    </w:p>
    <w:p>
      <w:pPr>
        <w:pStyle w:val="null3"/>
        <w:ind w:firstLine="480"/>
      </w:pPr>
      <w:r>
        <w:rPr/>
        <w:t>我方确认收到贵方提供的</w:t>
      </w:r>
      <w:r>
        <w:rPr>
          <w:u w:val="single"/>
        </w:rPr>
        <w:t>“</w:t>
      </w:r>
      <w:r>
        <w:rPr>
          <w:u w:val="single"/>
        </w:rPr>
        <w:t>普宁市城区黑臭水体治理、练江一期项目整改、练江二期项目收尾等咨询服务（2025年度）</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广东邦晟招标代理有限公司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普宁市城区黑臭水体治理、练江一期项目整改、练江二期项目收尾等咨询服务（2025年度）</w:t>
      </w:r>
      <w:r>
        <w:rPr/>
        <w:t>”项目采购[采购项目编号为</w:t>
      </w:r>
      <w:r>
        <w:rPr/>
        <w:t>BSZBDL202507001GD</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普宁市住房和城乡建设局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广东邦晟招标代理有限公司</w:t>
      </w:r>
    </w:p>
    <w:p>
      <w:pPr>
        <w:pStyle w:val="null3"/>
        <w:ind w:firstLine="480"/>
      </w:pPr>
      <w:r>
        <w:rPr/>
        <w:t xml:space="preserve"> 如果我方在贵采购代理机构组织的</w:t>
      </w:r>
      <w:r>
        <w:rPr/>
        <w:t>普宁市城区黑臭水体治理、练江一期项目整改、练江二期项目收尾等咨询服务（2025年度）</w:t>
      </w:r>
      <w:r>
        <w:rPr/>
        <w:t>招标中获中标（采购项目编号：</w:t>
      </w:r>
      <w:r>
        <w:rPr/>
        <w:t>BSZBDL202507001GD</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广东邦晟招标代理有限公司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广东邦晟招标代理有限公司</w:t>
      </w:r>
    </w:p>
    <w:p>
      <w:pPr>
        <w:pStyle w:val="null3"/>
        <w:ind w:firstLine="480"/>
      </w:pPr>
      <w:r>
        <w:rPr/>
        <w:t>我单位已登记并准备参与“</w:t>
      </w:r>
      <w:r>
        <w:rPr/>
        <w:t>普宁市城区黑臭水体治理、练江一期项目整改、练江二期项目收尾等咨询服务（2025年度）</w:t>
      </w:r>
      <w:r>
        <w:rPr/>
        <w:t>”项目（采购项目编号：</w:t>
      </w:r>
      <w:r>
        <w:rPr/>
        <w:t>BSZBDL202507001GD</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