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445281-2025-03759</w:t>
      </w:r>
    </w:p>
    <w:p>
      <w:pPr>
        <w:pStyle w:val="null3"/>
        <w:jc w:val="center"/>
        <w:outlineLvl w:val="3"/>
      </w:pPr>
      <w:r>
        <w:rPr>
          <w:sz w:val="24"/>
          <w:b/>
        </w:rPr>
        <w:t>采购项目编号：</w:t>
      </w:r>
      <w:r>
        <w:rPr>
          <w:sz w:val="24"/>
          <w:b/>
        </w:rPr>
        <w:t>BSZBDL202508001GD</w:t>
      </w:r>
    </w:p>
    <w:p>
      <w:pPr>
        <w:pStyle w:val="null3"/>
        <w:jc w:val="center"/>
        <w:outlineLvl w:val="3"/>
      </w:pPr>
      <w:r>
        <w:rPr>
          <w:sz w:val="24"/>
          <w:b/>
        </w:rPr>
        <w:t>项目名称：</w:t>
      </w:r>
      <w:r>
        <w:rPr>
          <w:sz w:val="24"/>
          <w:b/>
        </w:rPr>
        <w:t>普宁市军埠污水处理厂、下架山水质净化厂运维服务项目</w:t>
      </w:r>
    </w:p>
    <w:p>
      <w:pPr>
        <w:pStyle w:val="null3"/>
        <w:jc w:val="center"/>
        <w:outlineLvl w:val="3"/>
      </w:pPr>
      <w:r>
        <w:rPr>
          <w:sz w:val="24"/>
          <w:b/>
        </w:rPr>
        <w:t>采购人：</w:t>
      </w:r>
      <w:r>
        <w:rPr>
          <w:sz w:val="24"/>
          <w:b/>
        </w:rPr>
        <w:t>普宁市住房和城乡建设局</w:t>
      </w:r>
    </w:p>
    <w:p>
      <w:pPr>
        <w:pStyle w:val="null3"/>
        <w:jc w:val="center"/>
        <w:outlineLvl w:val="3"/>
      </w:pPr>
      <w:r>
        <w:rPr>
          <w:sz w:val="24"/>
          <w:b/>
        </w:rPr>
        <w:t>采购代理机构：</w:t>
      </w:r>
      <w:r>
        <w:rPr>
          <w:sz w:val="24"/>
          <w:b/>
        </w:rPr>
        <w:t>广东邦晟招标代理有限公司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广东邦晟招标代理有限公司</w:t>
      </w:r>
      <w:r>
        <w:rPr/>
        <w:t>受</w:t>
      </w:r>
      <w:r>
        <w:rPr/>
        <w:t>普宁市住房和城乡建设局</w:t>
      </w:r>
      <w:r>
        <w:rPr/>
        <w:t>的委托，采用</w:t>
      </w:r>
      <w:r>
        <w:rPr/>
        <w:t>公开招标</w:t>
      </w:r>
      <w:r>
        <w:rPr/>
        <w:t>方式组织采购</w:t>
      </w:r>
      <w:r>
        <w:rPr/>
        <w:t>普宁市军埠污水处理厂、下架山水质净化厂运维服务项目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普宁市军埠污水处理厂、下架山水质净化厂运维服务项目</w:t>
      </w:r>
    </w:p>
    <w:p>
      <w:pPr>
        <w:pStyle w:val="null3"/>
        <w:ind w:firstLine="480"/>
      </w:pPr>
      <w:r>
        <w:rPr/>
        <w:t>采购计划编号：</w:t>
      </w:r>
      <w:r>
        <w:rPr/>
        <w:t>445281-2025-03759</w:t>
      </w:r>
    </w:p>
    <w:p>
      <w:pPr>
        <w:pStyle w:val="null3"/>
        <w:ind w:firstLine="480"/>
      </w:pPr>
      <w:r>
        <w:rPr/>
        <w:t>采购项目编号：</w:t>
      </w:r>
      <w:r>
        <w:rPr/>
        <w:t>BSZBDL202508001GD</w:t>
      </w:r>
    </w:p>
    <w:p>
      <w:pPr>
        <w:pStyle w:val="null3"/>
        <w:ind w:firstLine="480"/>
      </w:pPr>
      <w:r>
        <w:rPr/>
        <w:t>采购方式：</w:t>
      </w:r>
      <w:r>
        <w:rPr/>
        <w:t>公开招标</w:t>
      </w:r>
    </w:p>
    <w:p>
      <w:pPr>
        <w:pStyle w:val="null3"/>
        <w:ind w:firstLine="480"/>
      </w:pPr>
      <w:r>
        <w:rPr/>
        <w:t>预算金额：</w:t>
      </w:r>
      <w:r>
        <w:rPr/>
        <w:t>30,030,000.00</w:t>
      </w:r>
      <w:r>
        <w:rPr/>
        <w:t>元</w:t>
      </w:r>
    </w:p>
    <w:p>
      <w:pPr>
        <w:pStyle w:val="null3"/>
        <w:outlineLvl w:val="3"/>
      </w:pPr>
      <w:r>
        <w:rPr>
          <w:sz w:val="24"/>
          <w:b/>
        </w:rPr>
        <w:t>2.项目内容及需求情况（采购项目技术规格、参数及要求）</w:t>
      </w:r>
    </w:p>
    <w:p>
      <w:pPr>
        <w:pStyle w:val="null3"/>
      </w:pPr>
      <w:r>
        <w:rPr/>
        <w:t>采购包1(普宁市军埠污水处理厂、下架山水质净化厂运维服务项目):</w:t>
      </w:r>
    </w:p>
    <w:p>
      <w:pPr>
        <w:pStyle w:val="null3"/>
      </w:pPr>
      <w:r>
        <w:rPr/>
        <w:t>采购包预算金额：30,030,000.00元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污水治理及其再生利用服务</w:t>
            </w:r>
          </w:p>
        </w:tc>
        <w:tc>
          <w:tcPr>
            <w:tcW w:type="dxa" w:w="2136"/>
          </w:tcPr>
          <w:p>
            <w:pPr>
              <w:pStyle w:val="null3"/>
            </w:pPr>
            <w:r>
              <w:rPr/>
              <w:t>普宁市军埠污水处理厂、下架山水质净化厂运维服务项目</w:t>
            </w:r>
          </w:p>
        </w:tc>
        <w:tc>
          <w:tcPr>
            <w:tcW w:type="dxa" w:w="1187"/>
          </w:tcPr>
          <w:p>
            <w:pPr>
              <w:pStyle w:val="null3"/>
            </w:pPr>
            <w:r>
              <w:rPr/>
              <w:t>3(年)</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合同履行期限：服务期限3年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或投标时提供《资格承诺函》，可参照公告附件格式</w:t>
      </w:r>
    </w:p>
    <w:p>
      <w:pPr>
        <w:pStyle w:val="null3"/>
      </w:pPr>
      <w:r>
        <w:rPr/>
        <w:t>3）具有良好的商业信誉和健全的财务会计制度：供应商必须具有良好的商业信誉和健全的财务会计制度（提供2024年度财务状况报告（或报表）复印件或基本开户行出具的资信证明），投标人为新成立的，提供成立至今的月或季度财务报告（或报表）复印件；或投标时提供《资格承诺函》，可参照公告附件格式</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或投标时提供《资格承诺函》，可参照公告附件格式</w:t>
      </w:r>
    </w:p>
    <w:p>
      <w:pPr>
        <w:pStyle w:val="null3"/>
        <w:outlineLvl w:val="3"/>
      </w:pPr>
      <w:r>
        <w:rPr>
          <w:sz w:val="24"/>
          <w:b/>
        </w:rPr>
        <w:t>2.落实政府采购政策需满足的资格要求：</w:t>
      </w:r>
    </w:p>
    <w:p>
      <w:pPr>
        <w:pStyle w:val="null3"/>
        <w:jc w:val="left"/>
      </w:pPr>
      <w:r>
        <w:rPr/>
        <w:t>采购包1（普宁市军埠污水处理厂、下架山水质净化厂运维服务项目）：</w:t>
      </w:r>
      <w:r>
        <w:rPr/>
        <w:t>本采购包不属于专门面向中小企业采购</w:t>
      </w:r>
    </w:p>
    <w:p>
      <w:pPr>
        <w:pStyle w:val="null3"/>
        <w:outlineLvl w:val="3"/>
      </w:pPr>
      <w:r>
        <w:rPr>
          <w:sz w:val="24"/>
          <w:b/>
        </w:rPr>
        <w:t>3.本项目特定的资格要求：</w:t>
      </w:r>
    </w:p>
    <w:p>
      <w:pPr>
        <w:pStyle w:val="null3"/>
      </w:pPr>
      <w:r>
        <w:rPr/>
        <w:t>采购包1（普宁市军埠污水处理厂、下架山水质净化厂运维服务项目）：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普宁市住房和城乡建设局</w:t>
      </w:r>
    </w:p>
    <w:p>
      <w:pPr>
        <w:pStyle w:val="null3"/>
        <w:ind w:firstLine="480"/>
      </w:pPr>
      <w:r>
        <w:rPr/>
        <w:t xml:space="preserve"> 地址：</w:t>
      </w:r>
      <w:r>
        <w:rPr/>
        <w:t>广东省普宁市流沙大道西与建设街交叉口西北角</w:t>
      </w:r>
    </w:p>
    <w:p>
      <w:pPr>
        <w:pStyle w:val="null3"/>
        <w:ind w:firstLine="480"/>
      </w:pPr>
      <w:r>
        <w:rPr/>
        <w:t xml:space="preserve"> 联系方式：</w:t>
      </w:r>
      <w:r>
        <w:rPr/>
        <w:t>0663-2226553</w:t>
      </w:r>
    </w:p>
    <w:p>
      <w:pPr>
        <w:pStyle w:val="null3"/>
        <w:outlineLvl w:val="3"/>
      </w:pPr>
      <w:r>
        <w:rPr>
          <w:sz w:val="24"/>
          <w:b/>
        </w:rPr>
        <w:t xml:space="preserve"> 2.采购代理机构信息</w:t>
      </w:r>
    </w:p>
    <w:p>
      <w:pPr>
        <w:pStyle w:val="null3"/>
        <w:ind w:firstLine="480"/>
      </w:pPr>
      <w:r>
        <w:rPr/>
        <w:t xml:space="preserve"> 名称：</w:t>
      </w:r>
      <w:r>
        <w:rPr/>
        <w:t>广东邦晟招标代理有限公司</w:t>
      </w:r>
    </w:p>
    <w:p>
      <w:pPr>
        <w:pStyle w:val="null3"/>
        <w:ind w:firstLine="480"/>
      </w:pPr>
      <w:r>
        <w:rPr/>
        <w:t xml:space="preserve"> 地址：</w:t>
      </w:r>
      <w:r>
        <w:rPr/>
        <w:t>广东省揭阳市普宁市流沙北街道南园村瑞安里东片4巷3号第4层401号</w:t>
      </w:r>
    </w:p>
    <w:p>
      <w:pPr>
        <w:pStyle w:val="null3"/>
        <w:ind w:firstLine="480"/>
      </w:pPr>
      <w:r>
        <w:rPr/>
        <w:t xml:space="preserve"> 联系方式：</w:t>
      </w:r>
      <w:r>
        <w:rPr/>
        <w:t>0663-2119336</w:t>
      </w:r>
    </w:p>
    <w:p>
      <w:pPr>
        <w:pStyle w:val="null3"/>
        <w:outlineLvl w:val="3"/>
      </w:pPr>
      <w:r>
        <w:rPr>
          <w:sz w:val="24"/>
          <w:b/>
        </w:rPr>
        <w:t xml:space="preserve"> 3.项目联系方式</w:t>
      </w:r>
    </w:p>
    <w:p>
      <w:pPr>
        <w:pStyle w:val="null3"/>
        <w:ind w:firstLine="480"/>
      </w:pPr>
      <w:r>
        <w:rPr/>
        <w:t xml:space="preserve"> 项目联系人：</w:t>
      </w:r>
      <w:r>
        <w:rPr/>
        <w:t>杨工</w:t>
      </w:r>
    </w:p>
    <w:p>
      <w:pPr>
        <w:pStyle w:val="null3"/>
        <w:ind w:firstLine="480"/>
      </w:pPr>
      <w:r>
        <w:rPr/>
        <w:t xml:space="preserve"> 电话：</w:t>
      </w:r>
      <w:r>
        <w:rPr/>
        <w:t>0663-2119336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广东邦晟招标代理有限公司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color w:val="000000"/>
        </w:rPr>
        <w:t>（</w:t>
      </w:r>
      <w:r>
        <w:rPr>
          <w:sz w:val="24"/>
          <w:b/>
          <w:color w:val="000000"/>
        </w:rPr>
        <w:t>1）项目背景</w:t>
      </w:r>
    </w:p>
    <w:p>
      <w:pPr>
        <w:pStyle w:val="null3"/>
        <w:ind w:firstLine="480"/>
        <w:jc w:val="both"/>
      </w:pPr>
      <w:r>
        <w:rPr>
          <w:sz w:val="24"/>
          <w:color w:val="000000"/>
        </w:rPr>
        <w:t>我市军埠污水处理厂（处理规模</w:t>
      </w:r>
      <w:r>
        <w:rPr>
          <w:sz w:val="24"/>
          <w:color w:val="000000"/>
        </w:rPr>
        <w:t>2万吨/天）、下架山水质净化厂（处理规模1.5万吨/天）自2022年7月16日正式商业运营以来，均保持正常运行，出水水质达标排放，持续发挥减排效益，为练江水质稳定达标发挥了积极作用。</w:t>
      </w:r>
    </w:p>
    <w:p>
      <w:pPr>
        <w:pStyle w:val="null3"/>
        <w:ind w:firstLine="480"/>
        <w:jc w:val="both"/>
      </w:pPr>
      <w:r>
        <w:rPr>
          <w:sz w:val="24"/>
          <w:color w:val="000000"/>
        </w:rPr>
        <w:t>鉴于</w:t>
      </w:r>
      <w:r>
        <w:rPr>
          <w:sz w:val="24"/>
          <w:color w:val="000000"/>
        </w:rPr>
        <w:t>2座污水处理厂运营服务期于2025年7月15日结束，目前相关镇尚未配置专业人员维护管理，为确保项目运营服务期结束后设备正常运行、高效使用，持续发挥减排效益，拟通过公开采购的形式，继续引入专业化、规范化运营单位进行运营管理。</w:t>
      </w:r>
    </w:p>
    <w:p>
      <w:pPr>
        <w:pStyle w:val="null3"/>
        <w:jc w:val="both"/>
      </w:pPr>
      <w:r>
        <w:rPr>
          <w:sz w:val="24"/>
          <w:b/>
          <w:color w:val="000000"/>
        </w:rPr>
        <w:t>（</w:t>
      </w:r>
      <w:r>
        <w:rPr>
          <w:sz w:val="24"/>
          <w:b/>
          <w:color w:val="000000"/>
        </w:rPr>
        <w:t>2）采购内容</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149"/>
        <w:gridCol w:w="800"/>
        <w:gridCol w:w="1898"/>
        <w:gridCol w:w="1898"/>
        <w:gridCol w:w="955"/>
        <w:gridCol w:w="1563"/>
      </w:tblGrid>
      <w:tr>
        <w:tc>
          <w:tcPr>
            <w:tcW w:type="dxa" w:w="194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项目名称</w:t>
            </w:r>
          </w:p>
        </w:tc>
        <w:tc>
          <w:tcPr>
            <w:tcW w:type="dxa" w:w="18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军埠污水处理厂</w:t>
            </w:r>
          </w:p>
          <w:p>
            <w:pPr>
              <w:pStyle w:val="null3"/>
              <w:jc w:val="center"/>
            </w:pPr>
            <w:r>
              <w:rPr>
                <w:sz w:val="24"/>
                <w:color w:val="000000"/>
              </w:rPr>
              <w:t>单价最高限价</w:t>
            </w:r>
          </w:p>
          <w:p>
            <w:pPr>
              <w:pStyle w:val="null3"/>
              <w:jc w:val="center"/>
            </w:pPr>
            <w:r>
              <w:rPr>
                <w:sz w:val="24"/>
                <w:color w:val="000000"/>
              </w:rPr>
              <w:t>（元/吨）</w:t>
            </w:r>
          </w:p>
        </w:tc>
        <w:tc>
          <w:tcPr>
            <w:tcW w:type="dxa" w:w="18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下架山水质净化厂单价最高限价</w:t>
            </w:r>
          </w:p>
          <w:p>
            <w:pPr>
              <w:pStyle w:val="null3"/>
              <w:jc w:val="center"/>
            </w:pPr>
            <w:r>
              <w:rPr>
                <w:sz w:val="24"/>
                <w:color w:val="000000"/>
              </w:rPr>
              <w:t>（元/吨）</w:t>
            </w:r>
          </w:p>
        </w:tc>
        <w:tc>
          <w:tcPr>
            <w:tcW w:type="dxa" w:w="9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服务</w:t>
            </w:r>
          </w:p>
          <w:p>
            <w:pPr>
              <w:pStyle w:val="null3"/>
              <w:jc w:val="center"/>
            </w:pPr>
            <w:r>
              <w:rPr>
                <w:sz w:val="24"/>
                <w:color w:val="000000"/>
              </w:rPr>
              <w:t>期限</w:t>
            </w:r>
          </w:p>
        </w:tc>
        <w:tc>
          <w:tcPr>
            <w:tcW w:type="dxa" w:w="1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总预算金额</w:t>
            </w:r>
          </w:p>
          <w:p>
            <w:pPr>
              <w:pStyle w:val="null3"/>
              <w:jc w:val="center"/>
            </w:pPr>
            <w:r>
              <w:rPr>
                <w:sz w:val="24"/>
                <w:color w:val="000000"/>
              </w:rPr>
              <w:t>（元）</w:t>
            </w:r>
          </w:p>
        </w:tc>
      </w:tr>
      <w:tr>
        <w:tc>
          <w:tcPr>
            <w:tcW w:type="dxa" w:w="194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普宁市军埠污水处理厂、下架山水质净化厂运维服务</w:t>
            </w:r>
            <w:r>
              <w:rPr>
                <w:sz w:val="24"/>
                <w:color w:val="000000"/>
              </w:rPr>
              <w:t>项目</w:t>
            </w:r>
          </w:p>
        </w:tc>
        <w:tc>
          <w:tcPr>
            <w:tcW w:type="dxa" w:w="1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0.856</w:t>
            </w:r>
          </w:p>
        </w:tc>
        <w:tc>
          <w:tcPr>
            <w:tcW w:type="dxa" w:w="1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0.686</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r>
              <w:rPr>
                <w:sz w:val="24"/>
                <w:color w:val="000000"/>
              </w:rPr>
              <w:t>年</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30030000.00</w:t>
            </w:r>
          </w:p>
        </w:tc>
      </w:tr>
      <w:tr>
        <w:tc>
          <w:tcPr>
            <w:tcW w:type="dxa" w:w="1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备注</w:t>
            </w:r>
          </w:p>
        </w:tc>
        <w:tc>
          <w:tcPr>
            <w:tcW w:type="dxa" w:w="7114"/>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1、军埠污水处理厂、</w:t>
            </w:r>
            <w:r>
              <w:rPr>
                <w:sz w:val="24"/>
                <w:color w:val="000000"/>
              </w:rPr>
              <w:t>下架山水质净化厂</w:t>
            </w:r>
            <w:r>
              <w:rPr>
                <w:sz w:val="24"/>
                <w:color w:val="000000"/>
              </w:rPr>
              <w:t>运营费用指：人工费、药剂费、水电费、污泥运输（不含处置费）、日常维修及大修费、其他费用（含日常办工等管理费）。</w:t>
            </w:r>
          </w:p>
          <w:p>
            <w:pPr>
              <w:pStyle w:val="null3"/>
              <w:jc w:val="left"/>
            </w:pPr>
            <w:r>
              <w:rPr>
                <w:sz w:val="24"/>
                <w:color w:val="000000"/>
              </w:rPr>
              <w:t>2、</w:t>
            </w:r>
            <w:r>
              <w:rPr>
                <w:sz w:val="24"/>
                <w:color w:val="000000"/>
              </w:rPr>
              <w:t>一切因违法违规行为所造成的后果由中标人承担。</w:t>
            </w:r>
          </w:p>
          <w:p>
            <w:pPr>
              <w:pStyle w:val="null3"/>
              <w:jc w:val="left"/>
            </w:pPr>
            <w:r>
              <w:rPr>
                <w:sz w:val="24"/>
                <w:color w:val="000000"/>
              </w:rPr>
              <w:t>3</w:t>
            </w:r>
            <w:r>
              <w:rPr>
                <w:sz w:val="24"/>
                <w:color w:val="000000"/>
              </w:rPr>
              <w:t>、本项目投标总报价金额为</w:t>
            </w:r>
            <w:r>
              <w:rPr>
                <w:sz w:val="24"/>
                <w:color w:val="000000"/>
              </w:rPr>
              <w:t>[</w:t>
            </w:r>
            <w:r>
              <w:rPr>
                <w:sz w:val="24"/>
                <w:color w:val="000000"/>
                <w:u w:val="single"/>
              </w:rPr>
              <w:t>军埠污水处理厂投标单价报价*</w:t>
            </w:r>
            <w:r>
              <w:rPr>
                <w:sz w:val="24"/>
                <w:color w:val="000000"/>
                <w:u w:val="single"/>
              </w:rPr>
              <w:t>2190万</w:t>
            </w:r>
            <w:r>
              <w:rPr>
                <w:sz w:val="24"/>
                <w:color w:val="000000"/>
                <w:u w:val="single"/>
              </w:rPr>
              <w:t>吨（</w:t>
            </w:r>
            <w:r>
              <w:rPr>
                <w:sz w:val="24"/>
                <w:color w:val="000000"/>
                <w:u w:val="single"/>
              </w:rPr>
              <w:t>3</w:t>
            </w:r>
            <w:r>
              <w:rPr>
                <w:sz w:val="24"/>
                <w:color w:val="000000"/>
                <w:u w:val="single"/>
              </w:rPr>
              <w:t>年暂估处理规模）</w:t>
            </w:r>
            <w:r>
              <w:rPr>
                <w:sz w:val="24"/>
                <w:color w:val="000000"/>
                <w:u w:val="single"/>
              </w:rPr>
              <w:t>=军埠污水处理厂投标报价]＋[下架山水质净化厂投标单价报价*1642.5万吨（3年暂估处理规模）=下架山水质净化厂投标报价]</w:t>
            </w:r>
            <w:r>
              <w:rPr>
                <w:sz w:val="24"/>
                <w:color w:val="000000"/>
              </w:rPr>
              <w:t>，投标单价可以精确到小数点后三位数。</w:t>
            </w:r>
          </w:p>
          <w:p>
            <w:pPr>
              <w:pStyle w:val="null3"/>
              <w:spacing w:after="120"/>
              <w:jc w:val="left"/>
            </w:pPr>
            <w:r>
              <w:rPr>
                <w:sz w:val="24"/>
                <w:color w:val="000000"/>
              </w:rPr>
              <w:t>4</w:t>
            </w:r>
            <w:r>
              <w:rPr>
                <w:sz w:val="24"/>
                <w:color w:val="000000"/>
              </w:rPr>
              <w:t>、军埠污水处理厂、下架山水质净化厂每季度分别按实际处理量进行考核结算，</w:t>
            </w:r>
            <w:r>
              <w:rPr>
                <w:sz w:val="24"/>
                <w:color w:val="000000"/>
              </w:rPr>
              <w:t>3</w:t>
            </w:r>
            <w:r>
              <w:rPr>
                <w:sz w:val="24"/>
                <w:color w:val="000000"/>
              </w:rPr>
              <w:t>年结算金额不超过各厂的投标报价。</w:t>
            </w:r>
          </w:p>
        </w:tc>
      </w:tr>
    </w:tbl>
    <w:p>
      <w:pPr>
        <w:pStyle w:val="null3"/>
        <w:jc w:val="left"/>
      </w:pPr>
      <w:r>
        <w:rPr>
          <w:sz w:val="24"/>
          <w:b/>
          <w:color w:val="000000"/>
        </w:rPr>
        <w:t>（</w:t>
      </w:r>
      <w:r>
        <w:rPr>
          <w:sz w:val="24"/>
          <w:b/>
          <w:color w:val="000000"/>
        </w:rPr>
        <w:t>3）设施情况表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477"/>
        <w:gridCol w:w="1201"/>
        <w:gridCol w:w="1201"/>
        <w:gridCol w:w="1898"/>
        <w:gridCol w:w="1020"/>
        <w:gridCol w:w="2467"/>
      </w:tblGrid>
      <w:tr>
        <w:tc>
          <w:tcPr>
            <w:tcW w:type="dxa" w:w="4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序号</w:t>
            </w:r>
          </w:p>
        </w:tc>
        <w:tc>
          <w:tcPr>
            <w:tcW w:type="dxa" w:w="1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厂区</w:t>
            </w:r>
          </w:p>
        </w:tc>
        <w:tc>
          <w:tcPr>
            <w:tcW w:type="dxa" w:w="1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处理规模</w:t>
            </w:r>
          </w:p>
        </w:tc>
        <w:tc>
          <w:tcPr>
            <w:tcW w:type="dxa" w:w="18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出水标准</w:t>
            </w:r>
          </w:p>
        </w:tc>
        <w:tc>
          <w:tcPr>
            <w:tcW w:type="dxa" w:w="10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运行情况</w:t>
            </w:r>
          </w:p>
        </w:tc>
        <w:tc>
          <w:tcPr>
            <w:tcW w:type="dxa" w:w="24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处理工艺</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军埠污水处理厂</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2万吨/天</w:t>
            </w:r>
          </w:p>
        </w:tc>
        <w:tc>
          <w:tcPr>
            <w:tcW w:type="dxa" w:w="18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《地表水环境质量标准》（GB3838-2002）V类标准（其中TN≤15mg/L）和《城镇污水处理厂污染物排放标准》（GB18918-2002）一级A标准两者中的较严限值，同时满足该项目排污许可证的要求。</w:t>
            </w:r>
          </w:p>
        </w:tc>
        <w:tc>
          <w:tcPr>
            <w:tcW w:type="dxa" w:w="10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正常运行</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处理采用“A2/0+MBR（膜池）”工艺；污泥处理工艺采用“机械浓缩+板框压滤”脱水后（含水率≤60％）外运至规范化处置场所进行规范化处置；臭气处理采用生物除臭工艺。</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下架山水质净化厂</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1.5万吨/天</w:t>
            </w:r>
          </w:p>
        </w:tc>
        <w:tc>
          <w:tcPr>
            <w:tcW w:type="dxa" w:w="1898"/>
            <w:vMerge/>
            <w:tcBorders>
              <w:top w:val="none" w:color="000000" w:sz="4"/>
              <w:left w:val="none" w:color="000000" w:sz="4"/>
              <w:bottom w:val="single" w:color="000000" w:sz="4"/>
              <w:right w:val="single" w:color="000000" w:sz="4"/>
            </w:tcBorders>
          </w:tcPr>
          <w:p/>
        </w:tc>
        <w:tc>
          <w:tcPr>
            <w:tcW w:type="dxa" w:w="1020"/>
            <w:vMerge/>
            <w:tcBorders>
              <w:top w:val="none" w:color="000000" w:sz="4"/>
              <w:left w:val="none" w:color="000000" w:sz="4"/>
              <w:bottom w:val="single" w:color="000000" w:sz="4"/>
              <w:right w:val="single" w:color="000000" w:sz="4"/>
            </w:tcBorders>
          </w:tcP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处理工艺采用“A/A/O微曝氧化沟+二沉池+磁混凝沉淀池+精密过滤+紫外线消毒”工艺；污泥处理工艺采用“污泥机械浓缩＋污泥调理+板框脱水”工艺(脱水污泥含水率≤60％)；臭气处理主体工艺采用“生物除臭”工艺。</w:t>
            </w:r>
          </w:p>
        </w:tc>
      </w:tr>
    </w:tbl>
    <w:p>
      <w:pPr>
        <w:pStyle w:val="null3"/>
      </w:pPr>
      <w:r>
        <w:rPr/>
        <w:t>采购包1（普宁市军埠污水处理厂、下架山水质净化厂运维服务项目）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服务期限3年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1期：支付比例100%,运营费用结算： 每季度结算期内，由揭阳市环境生态局普宁分局出具水质检测情况，普宁市住房和城乡建设局确认水量，按每季度可结算实际处理水量汇总*运营单价-当季度应予扣除费用进行汇总结算。每个结算周期内，出水水质指标检测结果达不到合同约定的出水水质标准的，每检测一次不合格(由采购人聘请的第三方检测单位、揭阳市环境生态局普宁分局或其它有资质检测机构)，扣减该结算周期运营费的20%，扣完为止。 付款方式和条件： 1.采购人按照季度监督考核后，向市财政局申请拨付运营费用。经市财政局审核并报市政府领导批准后支付至中标单位账户。支付周期按季度支付，在财政经费到位后10个工作日内采购人通过银行划账等方式付款。如中标单位有被扣罚款项，按扣款后余额划拨。 2.合同有效期满后，中标单位须办妥相关交接手续，采购人有权要求中标单位完成相关工作交接后，才支付上季度服务费。因中标单位责任造成未按时交接项目的，中标单位须保证在交接延误期内污水处理设施正常运转，并且出水水质达到约定的标准，否则，采购人对中标单位处以每天50000.00元的罚款；交接延误期采购人不支付中标单位任何费用。因采购人原因造成未按时交接项目的，中标单位仍须保证在交接延误期内污水处理设施正常运转，并且出水水质达到约定的标准，采购人照常支付中标单位运营维护服务费。</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1期：按考核验收标准。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污水处理服务费</w:t>
            </w:r>
          </w:p>
        </w:tc>
        <w:tc>
          <w:tcPr>
            <w:tcW w:type="dxa" w:w="2076"/>
          </w:tcPr>
          <w:p>
            <w:pPr>
              <w:pStyle w:val="null3"/>
              <w:jc w:val="left"/>
            </w:pPr>
            <w:r>
              <w:rPr/>
              <w:t>1、军埠污水处理厂污水处理服务费合同单价为人民币大写： 元/吨 小写： 元/吨 ；下架山水质净化厂污水处理服务费合同单价为人民币大写： 元/吨 小写： 元/吨 。 污水处理服务费按季度结算，每季度按合同单价（若运营期内单价发生调整，则按经甲乙双方确认的单价）及当季经甲乙双方确认的可计费的实际处理污水量进行及考核期发生的扣减费用计算。</w:t>
            </w:r>
          </w:p>
        </w:tc>
      </w:tr>
      <w:tr>
        <w:tc>
          <w:tcPr>
            <w:tcW w:type="dxa" w:w="2076"/>
          </w:tcPr>
          <w:p/>
        </w:tc>
        <w:tc>
          <w:tcPr>
            <w:tcW w:type="dxa" w:w="2076"/>
          </w:tcPr>
          <w:p>
            <w:pPr>
              <w:pStyle w:val="null3"/>
              <w:jc w:val="center"/>
            </w:pPr>
            <w:r>
              <w:rPr/>
              <w:t>2</w:t>
            </w:r>
          </w:p>
        </w:tc>
        <w:tc>
          <w:tcPr>
            <w:tcW w:type="dxa" w:w="2076"/>
          </w:tcPr>
          <w:p>
            <w:pPr>
              <w:pStyle w:val="null3"/>
              <w:jc w:val="left"/>
            </w:pPr>
            <w:r>
              <w:rPr/>
              <w:t>污水处理服务费调价公式和程序</w:t>
            </w:r>
          </w:p>
        </w:tc>
        <w:tc>
          <w:tcPr>
            <w:tcW w:type="dxa" w:w="2076"/>
          </w:tcPr>
          <w:p>
            <w:pPr>
              <w:pStyle w:val="null3"/>
              <w:jc w:val="left"/>
            </w:pPr>
            <w:r>
              <w:rPr/>
              <w:t>（1）污水处理服务费（以中标单位投标报价为准）。 （2）最终的污水处理收费单价 a）构成污水处理收费单价的各种要素按实际情况调整； b）根据上述调整后的价格作为最终的污水处理收费单价。 （3）污水处理服务费的非常规调整 若国家出台新的政策、法律法规改变、税种、税率增加、或提高污水出水、废气排放、噪音及污泥处置等标准的情况、或非中标单位原因造成的设施、设备更新或改造，对中标单位的资本性投入、生产成本造成增加的，或导致中标单位收入损失的，中标单位可核算其影响结果，并书面报告普宁市物价部门申请污水处理单价的非常规调整。中标单位负责办理和协调污水处理单价调整的相关报批手续，采购人及其指定机构予以配合、协助。 （4）绩效考核对项目污水处理服务费的调整 采购人或其每年聘请第三方机构对中标单位的运营绩效进行评价，主要评价标准参照项目监管考核办法和标准进行，根据项目监管考核办法和标准的计算方法核算该运营年采购人需要支付的项目污水处理服务费。中标单位未达到绩效标准的，根据未达情形对项目的影响程度扣减相应的污水处理服务费。 （5）违约金或补偿金对污水处理服务费的影响和调整污水处理服务费应根据本合同和/或适用法律的规定计算的违约金、赔偿金、补偿金进行结算。</w:t>
            </w:r>
          </w:p>
        </w:tc>
      </w:tr>
      <w:tr>
        <w:tc>
          <w:tcPr>
            <w:tcW w:type="dxa" w:w="2076"/>
          </w:tcPr>
          <w:p/>
        </w:tc>
        <w:tc>
          <w:tcPr>
            <w:tcW w:type="dxa" w:w="2076"/>
          </w:tcPr>
          <w:p>
            <w:pPr>
              <w:pStyle w:val="null3"/>
              <w:jc w:val="center"/>
            </w:pPr>
            <w:r>
              <w:rPr/>
              <w:t>3</w:t>
            </w:r>
          </w:p>
        </w:tc>
        <w:tc>
          <w:tcPr>
            <w:tcW w:type="dxa" w:w="2076"/>
          </w:tcPr>
          <w:p>
            <w:pPr>
              <w:pStyle w:val="null3"/>
              <w:jc w:val="left"/>
            </w:pPr>
            <w:r>
              <w:rPr/>
              <w:t>项目移交中标人（项目移交给中标单位开展运营服务的移交工作）</w:t>
            </w:r>
          </w:p>
        </w:tc>
        <w:tc>
          <w:tcPr>
            <w:tcW w:type="dxa" w:w="2076"/>
          </w:tcPr>
          <w:p>
            <w:pPr>
              <w:pStyle w:val="null3"/>
              <w:jc w:val="left"/>
            </w:pPr>
            <w:r>
              <w:rPr/>
              <w:t>（1）采购人、属地人民政府、原运维单位与中标人成立四方项目移交小组，负责商定移交的程序步骤与内容，处理移交过程中的各项事宜。 （2）移交范围 ①军埠污水处理厂、下架山水质净化厂的所有设施（土地、建构筑物、设备、工具等）的使用权。 ②运维和维护项目所要求的知识产权等无形资产。 ③在用的各类管理章程、行政资料、生产运行记录，使项目能平稳地正常地继续运维。 ④运维项目设施所需消耗品及备品备件的购买厂商名单。</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如涉及政府强制采购产品</w:t>
            </w:r>
          </w:p>
        </w:tc>
        <w:tc>
          <w:tcPr>
            <w:tcW w:type="dxa" w:w="2076"/>
          </w:tcPr>
          <w:p>
            <w:pPr>
              <w:pStyle w:val="null3"/>
              <w:jc w:val="left"/>
            </w:pPr>
            <w:r>
              <w:rPr/>
              <w:t>投标供应商报价的产品如涉及《财政部 发展改革委&lt;关于印发节能产品政府采购品目清单的通知&gt;（财库〔2019〕19 号）》文件中政府强制采购产品，如：台式计算机、便携式计算机、平板式微型计算机、激光打印机、针式打印机、液晶显示器、冷水机组、水源热泵机组、溴化锂吸收式冷水机组、多联式空调（热泵）机组(制冷量&gt;14000W)、单元式空气调节机(制冷量&gt;14000W)、机房空调、管型荧光灯镇流器、房间空气调节器、多联式空调（热泵）机组（制冷量≤14000W）、单元式空气调节机(制冷量≤14000W)、电热水器、普通照明用双端荧光灯、普通电视设备（电视机）、监视器、坐便器、蹲便器、小便器、水嘴等必须获得国家确定的认证机构出具的、处于有效期之内的节能产品认证证书。须提供产品在中国政府采购网（www.ccgp.gov.cn）或全国认证认可信息公共服务平台（cx.cnca.cn）节能产品认证信息查询界面截图或者提供产品获得国家确定的认证机构出具的、处于有效期之内的节能产品认证证书复印件。（加盖投标供应商公章）</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污水治理及其再生利用服务</w:t>
            </w:r>
          </w:p>
        </w:tc>
        <w:tc>
          <w:tcPr>
            <w:tcW w:type="dxa" w:w="933"/>
          </w:tcPr>
          <w:p>
            <w:pPr>
              <w:pStyle w:val="null3"/>
              <w:jc w:val="left"/>
            </w:pPr>
            <w:r>
              <w:rPr/>
              <w:t>普宁市军埠污水处理厂、下架山水质净化厂运维服务项目</w:t>
            </w:r>
          </w:p>
        </w:tc>
        <w:tc>
          <w:tcPr>
            <w:tcW w:type="dxa" w:w="933"/>
          </w:tcPr>
          <w:p>
            <w:pPr>
              <w:pStyle w:val="null3"/>
              <w:jc w:val="left"/>
            </w:pPr>
            <w:r>
              <w:rPr/>
              <w:t>年</w:t>
            </w:r>
          </w:p>
        </w:tc>
        <w:tc>
          <w:tcPr>
            <w:tcW w:type="dxa" w:w="933"/>
          </w:tcPr>
          <w:p>
            <w:pPr>
              <w:pStyle w:val="null3"/>
              <w:jc w:val="right"/>
            </w:pPr>
            <w:r>
              <w:rPr/>
              <w:t>3.00</w:t>
            </w:r>
          </w:p>
        </w:tc>
        <w:tc>
          <w:tcPr>
            <w:tcW w:type="dxa" w:w="933"/>
          </w:tcPr>
          <w:p>
            <w:pPr>
              <w:pStyle w:val="null3"/>
              <w:jc w:val="right"/>
            </w:pPr>
            <w:r>
              <w:rPr/>
              <w:t>10,010,000.00</w:t>
            </w:r>
          </w:p>
        </w:tc>
        <w:tc>
          <w:tcPr>
            <w:tcW w:type="dxa" w:w="933"/>
          </w:tcPr>
          <w:p>
            <w:pPr>
              <w:pStyle w:val="null3"/>
              <w:jc w:val="right"/>
            </w:pPr>
            <w:r>
              <w:rPr/>
              <w:t>30,030,000.00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普宁市军埠污水处理厂、下架山水质净化厂运维服务项目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2"/>
              <w:jc w:val="both"/>
            </w:pPr>
            <w:r>
              <w:rPr>
                <w:sz w:val="24"/>
                <w:b/>
                <w:color w:val="000000"/>
              </w:rPr>
              <w:t>1、管理架构及劳动定员</w:t>
            </w:r>
          </w:p>
          <w:p>
            <w:pPr>
              <w:pStyle w:val="null3"/>
              <w:ind w:firstLine="480"/>
              <w:jc w:val="both"/>
            </w:pPr>
            <w:r>
              <w:rPr>
                <w:sz w:val="24"/>
                <w:color w:val="000000"/>
              </w:rPr>
              <w:t>1.1 管理架构</w:t>
            </w:r>
          </w:p>
          <w:p>
            <w:pPr>
              <w:pStyle w:val="null3"/>
              <w:ind w:firstLine="480"/>
              <w:jc w:val="both"/>
            </w:pPr>
            <w:r>
              <w:rPr>
                <w:sz w:val="24"/>
                <w:color w:val="000000"/>
              </w:rPr>
              <w:t>1.1.1运维主体：中标人。</w:t>
            </w:r>
          </w:p>
          <w:p>
            <w:pPr>
              <w:pStyle w:val="null3"/>
              <w:ind w:firstLine="480"/>
              <w:jc w:val="both"/>
            </w:pPr>
            <w:r>
              <w:rPr>
                <w:sz w:val="24"/>
                <w:color w:val="000000"/>
              </w:rPr>
              <w:t>1.2 工作职责</w:t>
            </w:r>
          </w:p>
          <w:p>
            <w:pPr>
              <w:pStyle w:val="null3"/>
              <w:jc w:val="left"/>
            </w:pPr>
            <w:r>
              <w:rPr>
                <w:sz w:val="24"/>
                <w:color w:val="000000"/>
              </w:rPr>
              <w:t xml:space="preserve">       工作职责：</w:t>
            </w:r>
            <w:r>
              <w:rPr>
                <w:sz w:val="24"/>
                <w:color w:val="000000"/>
              </w:rPr>
              <w:t>军埠污水处理厂、下架山水质净化厂的</w:t>
            </w:r>
            <w:r>
              <w:rPr>
                <w:sz w:val="24"/>
                <w:color w:val="000000"/>
              </w:rPr>
              <w:t>运维管理、行政管理、固定资产管理、设施设备仪表仪器维护与保护管理、水质化验管理、质量管理、安全管理、环境管理、仓库管理等。</w:t>
            </w:r>
          </w:p>
        </w:tc>
      </w:tr>
      <w:tr>
        <w:tc>
          <w:tcPr>
            <w:tcW w:type="dxa" w:w="2076"/>
          </w:tcPr>
          <w:p/>
        </w:tc>
        <w:tc>
          <w:tcPr>
            <w:tcW w:type="dxa" w:w="415"/>
          </w:tcPr>
          <w:p>
            <w:pPr>
              <w:pStyle w:val="null3"/>
            </w:pPr>
            <w:r>
              <w:rPr/>
              <w:t>2</w:t>
            </w:r>
          </w:p>
        </w:tc>
        <w:tc>
          <w:tcPr>
            <w:tcW w:type="dxa" w:w="5814"/>
          </w:tcPr>
          <w:p>
            <w:pPr>
              <w:pStyle w:val="null3"/>
              <w:ind w:firstLine="482"/>
              <w:jc w:val="both"/>
            </w:pPr>
            <w:r>
              <w:rPr>
                <w:sz w:val="24"/>
                <w:b/>
                <w:color w:val="000000"/>
              </w:rPr>
              <w:t>2、劳动定员</w:t>
            </w:r>
          </w:p>
          <w:p>
            <w:pPr>
              <w:pStyle w:val="null3"/>
              <w:ind w:firstLine="480"/>
              <w:jc w:val="both"/>
            </w:pPr>
            <w:r>
              <w:rPr>
                <w:sz w:val="24"/>
                <w:color w:val="000000"/>
              </w:rPr>
              <w:t>军埠污水处理厂、下架山水质净化厂的运维岗位要以提高运维效率和服务质量为目标，以精干高效和有利于生产经营为原则，做到明确职责，合理分工。</w:t>
            </w:r>
            <w:r>
              <w:rPr>
                <w:sz w:val="21"/>
                <w:color w:val="000000"/>
              </w:rPr>
              <w:t xml:space="preserve">  </w:t>
            </w:r>
          </w:p>
          <w:p>
            <w:pPr>
              <w:pStyle w:val="null3"/>
              <w:jc w:val="left"/>
            </w:pPr>
            <w:r>
              <w:rPr>
                <w:sz w:val="24"/>
                <w:color w:val="000000"/>
              </w:rPr>
              <w:t>人员能力要求：需配置足够数量持证的污水处理工、电工及</w:t>
            </w:r>
            <w:r>
              <w:rPr>
                <w:sz w:val="24"/>
                <w:color w:val="000000"/>
              </w:rPr>
              <w:t>化验员</w:t>
            </w:r>
            <w:r>
              <w:rPr>
                <w:sz w:val="24"/>
                <w:color w:val="000000"/>
              </w:rPr>
              <w:t>。</w:t>
            </w:r>
          </w:p>
        </w:tc>
      </w:tr>
      <w:tr>
        <w:tc>
          <w:tcPr>
            <w:tcW w:type="dxa" w:w="2076"/>
          </w:tcPr>
          <w:p/>
        </w:tc>
        <w:tc>
          <w:tcPr>
            <w:tcW w:type="dxa" w:w="415"/>
          </w:tcPr>
          <w:p>
            <w:pPr>
              <w:pStyle w:val="null3"/>
            </w:pPr>
            <w:r>
              <w:rPr/>
              <w:t>3</w:t>
            </w:r>
          </w:p>
        </w:tc>
        <w:tc>
          <w:tcPr>
            <w:tcW w:type="dxa" w:w="5814"/>
          </w:tcPr>
          <w:p>
            <w:pPr>
              <w:pStyle w:val="null3"/>
              <w:ind w:firstLine="482"/>
              <w:jc w:val="both"/>
            </w:pPr>
            <w:r>
              <w:rPr>
                <w:sz w:val="24"/>
                <w:b/>
                <w:color w:val="000000"/>
              </w:rPr>
              <w:t>3、</w:t>
            </w:r>
            <w:r>
              <w:rPr>
                <w:sz w:val="24"/>
                <w:b/>
                <w:color w:val="000000"/>
              </w:rPr>
              <w:t>运营期间的权利和义务</w:t>
            </w:r>
          </w:p>
          <w:p>
            <w:pPr>
              <w:pStyle w:val="null3"/>
              <w:ind w:firstLine="480"/>
              <w:jc w:val="both"/>
            </w:pPr>
            <w:r>
              <w:rPr>
                <w:sz w:val="24"/>
                <w:color w:val="000000"/>
              </w:rPr>
              <w:t>3</w:t>
            </w:r>
            <w:r>
              <w:rPr>
                <w:sz w:val="24"/>
                <w:color w:val="000000"/>
              </w:rPr>
              <w:t>.1项目运营的标准和要求</w:t>
            </w:r>
          </w:p>
          <w:p>
            <w:pPr>
              <w:pStyle w:val="null3"/>
              <w:ind w:firstLine="480"/>
              <w:jc w:val="both"/>
            </w:pPr>
            <w:r>
              <w:rPr>
                <w:sz w:val="24"/>
                <w:color w:val="000000"/>
              </w:rPr>
              <w:t>在整个项目合作期内，中标单位应根据本合同的规定，自行承担费用（包括税费）和风险，管理、运营和维护项目设施。中标单位应确保在整个项目合作期内，始终根据下列规定运营并维护项目设施：</w:t>
            </w:r>
          </w:p>
          <w:p>
            <w:pPr>
              <w:pStyle w:val="null3"/>
              <w:ind w:firstLine="480"/>
              <w:jc w:val="both"/>
            </w:pPr>
            <w:r>
              <w:rPr>
                <w:sz w:val="24"/>
                <w:color w:val="000000"/>
              </w:rPr>
              <w:t>（</w:t>
            </w:r>
            <w:r>
              <w:rPr>
                <w:sz w:val="24"/>
                <w:color w:val="000000"/>
              </w:rPr>
              <w:t>1）国家、广东省、揭阳市现行的企业运行的有关法律法规，污水处理运营国家成者地方已经颁</w:t>
            </w:r>
            <w:r>
              <w:rPr>
                <w:sz w:val="24"/>
                <w:color w:val="000000"/>
              </w:rPr>
              <w:t>发实</w:t>
            </w:r>
            <w:r>
              <w:rPr>
                <w:sz w:val="24"/>
                <w:color w:val="000000"/>
              </w:rPr>
              <w:t>施的和维护及其他与本项目有关的法律法规、标准和规范，本项目有关批准文件的要求。国家或者地方已经颁布实施的和之后不时颁布实施的本项目有关的法规、规章与标准的规定若有与现行标准不一致之处时应适用相对较新的标准；</w:t>
            </w:r>
          </w:p>
          <w:p>
            <w:pPr>
              <w:pStyle w:val="null3"/>
              <w:ind w:firstLine="480"/>
              <w:jc w:val="both"/>
            </w:pPr>
            <w:r>
              <w:rPr>
                <w:sz w:val="24"/>
                <w:color w:val="000000"/>
              </w:rPr>
              <w:t>（</w:t>
            </w:r>
            <w:r>
              <w:rPr>
                <w:sz w:val="24"/>
                <w:color w:val="000000"/>
              </w:rPr>
              <w:t>2）按招标文件规定的质量保证、质量控制和安全生产的要求；</w:t>
            </w:r>
          </w:p>
          <w:p>
            <w:pPr>
              <w:pStyle w:val="null3"/>
              <w:ind w:firstLine="480"/>
              <w:jc w:val="both"/>
            </w:pPr>
            <w:r>
              <w:rPr>
                <w:sz w:val="24"/>
                <w:color w:val="000000"/>
              </w:rPr>
              <w:t>（</w:t>
            </w:r>
            <w:r>
              <w:rPr>
                <w:sz w:val="24"/>
                <w:color w:val="000000"/>
              </w:rPr>
              <w:t>3）运行维护手册以及项目设施内设备制造商提供的说明手册和指导</w:t>
            </w:r>
            <w:r>
              <w:rPr>
                <w:sz w:val="24"/>
                <w:color w:val="000000"/>
              </w:rPr>
              <w:t>书</w:t>
            </w:r>
            <w:r>
              <w:rPr>
                <w:sz w:val="24"/>
                <w:color w:val="000000"/>
              </w:rPr>
              <w:t>；</w:t>
            </w:r>
          </w:p>
          <w:p>
            <w:pPr>
              <w:pStyle w:val="null3"/>
              <w:ind w:firstLine="480"/>
              <w:jc w:val="both"/>
            </w:pPr>
            <w:r>
              <w:rPr>
                <w:sz w:val="24"/>
                <w:color w:val="000000"/>
              </w:rPr>
              <w:t>（</w:t>
            </w:r>
            <w:r>
              <w:rPr>
                <w:sz w:val="24"/>
                <w:color w:val="000000"/>
              </w:rPr>
              <w:t>4）谨慎运营惯例。</w:t>
            </w:r>
          </w:p>
          <w:p>
            <w:pPr>
              <w:pStyle w:val="null3"/>
              <w:ind w:firstLine="480"/>
              <w:jc w:val="both"/>
            </w:pPr>
            <w:r>
              <w:rPr>
                <w:sz w:val="24"/>
                <w:color w:val="000000"/>
              </w:rPr>
              <w:t>中标单位应确保项目设施始终处于良好运营状态并能够安全稳定地处理污水和污泥，使其达到排放标准，大气污染物和噪声满足环保要求。</w:t>
            </w:r>
          </w:p>
          <w:p>
            <w:pPr>
              <w:pStyle w:val="null3"/>
              <w:ind w:firstLine="480"/>
              <w:jc w:val="both"/>
            </w:pPr>
            <w:r>
              <w:rPr>
                <w:sz w:val="24"/>
                <w:color w:val="000000"/>
              </w:rPr>
              <w:t>（</w:t>
            </w:r>
            <w:r>
              <w:rPr>
                <w:sz w:val="24"/>
                <w:color w:val="000000"/>
              </w:rPr>
              <w:t>5）本项目污泥含水率小于等于60%。</w:t>
            </w:r>
          </w:p>
          <w:p>
            <w:pPr>
              <w:pStyle w:val="null3"/>
              <w:ind w:firstLine="480"/>
              <w:jc w:val="both"/>
            </w:pPr>
            <w:r>
              <w:rPr>
                <w:sz w:val="24"/>
                <w:color w:val="000000"/>
              </w:rPr>
              <w:t>3</w:t>
            </w:r>
            <w:r>
              <w:rPr>
                <w:sz w:val="24"/>
                <w:color w:val="000000"/>
              </w:rPr>
              <w:t>.2中标单位的主要义务</w:t>
            </w:r>
          </w:p>
          <w:p>
            <w:pPr>
              <w:pStyle w:val="null3"/>
              <w:ind w:firstLine="480"/>
              <w:jc w:val="both"/>
            </w:pPr>
            <w:r>
              <w:rPr>
                <w:sz w:val="24"/>
                <w:color w:val="000000"/>
              </w:rPr>
              <w:t>（</w:t>
            </w:r>
            <w:r>
              <w:rPr>
                <w:sz w:val="24"/>
                <w:color w:val="000000"/>
              </w:rPr>
              <w:t>1）在整个运营期内，中标单位应根据本合同的规定，自行承担费用、责任和风险，管理、运营和维护污水处理设施，确保污水处理设施具有持续保证设计处理能力。</w:t>
            </w:r>
          </w:p>
          <w:p>
            <w:pPr>
              <w:pStyle w:val="null3"/>
              <w:ind w:firstLine="480"/>
              <w:jc w:val="both"/>
            </w:pPr>
            <w:r>
              <w:rPr>
                <w:sz w:val="24"/>
                <w:color w:val="000000"/>
              </w:rPr>
              <w:t>（</w:t>
            </w:r>
            <w:r>
              <w:rPr>
                <w:sz w:val="24"/>
                <w:color w:val="000000"/>
              </w:rPr>
              <w:t>2）中标单位应在运营期期内每个经营日按国家、广东省现行的有关规范处理污水，并承担相应的责任和义务。除本合同另有约定外，中标单位不得以任何理由暂停污水处理服务。</w:t>
            </w:r>
          </w:p>
          <w:p>
            <w:pPr>
              <w:pStyle w:val="null3"/>
              <w:ind w:firstLine="480"/>
              <w:jc w:val="both"/>
            </w:pPr>
            <w:r>
              <w:rPr>
                <w:sz w:val="24"/>
                <w:color w:val="000000"/>
              </w:rPr>
              <w:t>（</w:t>
            </w:r>
            <w:r>
              <w:rPr>
                <w:sz w:val="24"/>
                <w:color w:val="000000"/>
              </w:rPr>
              <w:t>3）中标单位应确保在整个运营期内，始终根据下列规定和要求运营并维护项目设施：</w:t>
            </w:r>
          </w:p>
          <w:p>
            <w:pPr>
              <w:pStyle w:val="null3"/>
              <w:ind w:firstLine="480"/>
              <w:jc w:val="both"/>
            </w:pPr>
            <w:r>
              <w:rPr>
                <w:sz w:val="24"/>
                <w:color w:val="000000"/>
              </w:rPr>
              <w:t>1）适用法律；</w:t>
            </w:r>
          </w:p>
          <w:p>
            <w:pPr>
              <w:pStyle w:val="null3"/>
              <w:ind w:firstLine="480"/>
              <w:jc w:val="both"/>
            </w:pPr>
            <w:r>
              <w:rPr>
                <w:sz w:val="24"/>
                <w:color w:val="000000"/>
              </w:rPr>
              <w:t>2）本合同约定的要求和标准。</w:t>
            </w:r>
          </w:p>
          <w:p>
            <w:pPr>
              <w:pStyle w:val="null3"/>
              <w:ind w:firstLine="480"/>
              <w:jc w:val="both"/>
            </w:pPr>
            <w:r>
              <w:rPr>
                <w:sz w:val="24"/>
                <w:color w:val="000000"/>
              </w:rPr>
              <w:t>常见的运营标准和要求包括：</w:t>
            </w:r>
          </w:p>
          <w:p>
            <w:pPr>
              <w:pStyle w:val="null3"/>
              <w:ind w:firstLine="480"/>
              <w:jc w:val="both"/>
            </w:pPr>
            <w:r>
              <w:rPr>
                <w:sz w:val="24"/>
                <w:color w:val="000000"/>
              </w:rPr>
              <w:t>a.服务范围和服务内容；</w:t>
            </w:r>
          </w:p>
          <w:p>
            <w:pPr>
              <w:pStyle w:val="null3"/>
              <w:ind w:firstLine="480"/>
              <w:jc w:val="both"/>
            </w:pPr>
            <w:r>
              <w:rPr>
                <w:sz w:val="24"/>
                <w:color w:val="000000"/>
              </w:rPr>
              <w:t>b.生产规模或服务能力；</w:t>
            </w:r>
          </w:p>
          <w:p>
            <w:pPr>
              <w:pStyle w:val="null3"/>
              <w:ind w:firstLine="480"/>
              <w:jc w:val="both"/>
            </w:pPr>
            <w:r>
              <w:rPr>
                <w:sz w:val="24"/>
                <w:color w:val="000000"/>
              </w:rPr>
              <w:t>c.运营技术标准或规范；</w:t>
            </w:r>
          </w:p>
          <w:p>
            <w:pPr>
              <w:pStyle w:val="null3"/>
              <w:ind w:firstLine="480"/>
              <w:jc w:val="both"/>
            </w:pPr>
            <w:r>
              <w:rPr>
                <w:sz w:val="24"/>
                <w:color w:val="000000"/>
              </w:rPr>
              <w:t>d.污水处理设施污染物排放标准；</w:t>
            </w:r>
          </w:p>
          <w:p>
            <w:pPr>
              <w:pStyle w:val="null3"/>
              <w:ind w:firstLine="480"/>
              <w:jc w:val="both"/>
            </w:pPr>
            <w:r>
              <w:rPr>
                <w:sz w:val="24"/>
                <w:color w:val="000000"/>
              </w:rPr>
              <w:t>e.安全生产要求；</w:t>
            </w:r>
          </w:p>
          <w:p>
            <w:pPr>
              <w:pStyle w:val="null3"/>
              <w:ind w:firstLine="480"/>
              <w:jc w:val="both"/>
            </w:pPr>
            <w:r>
              <w:rPr>
                <w:sz w:val="24"/>
                <w:color w:val="000000"/>
              </w:rPr>
              <w:t>f.环境保护要求等。</w:t>
            </w:r>
          </w:p>
          <w:p>
            <w:pPr>
              <w:pStyle w:val="null3"/>
              <w:ind w:firstLine="480"/>
              <w:jc w:val="both"/>
            </w:pPr>
            <w:r>
              <w:rPr>
                <w:sz w:val="24"/>
                <w:color w:val="000000"/>
              </w:rPr>
              <w:t>3）运行维护手册以及与项目设施有关的设备制造商提供的有关手册、指导和建议；</w:t>
            </w:r>
          </w:p>
          <w:p>
            <w:pPr>
              <w:pStyle w:val="null3"/>
              <w:ind w:firstLine="480"/>
              <w:jc w:val="both"/>
            </w:pPr>
            <w:r>
              <w:rPr>
                <w:sz w:val="24"/>
                <w:color w:val="000000"/>
              </w:rPr>
              <w:t>4）谨慎运营惯例。</w:t>
            </w:r>
          </w:p>
          <w:p>
            <w:pPr>
              <w:pStyle w:val="null3"/>
              <w:ind w:firstLine="480"/>
              <w:jc w:val="both"/>
            </w:pPr>
            <w:r>
              <w:rPr>
                <w:sz w:val="24"/>
                <w:color w:val="000000"/>
              </w:rPr>
              <w:t>（</w:t>
            </w:r>
            <w:r>
              <w:rPr>
                <w:sz w:val="24"/>
                <w:color w:val="000000"/>
              </w:rPr>
              <w:t>4）自</w:t>
            </w:r>
            <w:r>
              <w:rPr>
                <w:sz w:val="24"/>
                <w:color w:val="000000"/>
              </w:rPr>
              <w:t>中标单位开始</w:t>
            </w:r>
            <w:r>
              <w:rPr>
                <w:sz w:val="24"/>
                <w:color w:val="000000"/>
              </w:rPr>
              <w:t>运营后第二个季度起，中标单位应于每季度第一个月</w:t>
            </w:r>
            <w:r>
              <w:rPr>
                <w:sz w:val="24"/>
                <w:color w:val="000000"/>
              </w:rPr>
              <w:t>5日前向采购人或其指定机构提交</w:t>
            </w:r>
            <w:r>
              <w:rPr>
                <w:sz w:val="24"/>
                <w:color w:val="000000"/>
              </w:rPr>
              <w:t>军埠</w:t>
            </w:r>
            <w:r>
              <w:rPr>
                <w:sz w:val="24"/>
                <w:color w:val="000000"/>
              </w:rPr>
              <w:t>污水处理</w:t>
            </w:r>
            <w:r>
              <w:rPr>
                <w:sz w:val="24"/>
                <w:color w:val="000000"/>
              </w:rPr>
              <w:t>厂、下架山水质净化厂</w:t>
            </w:r>
            <w:r>
              <w:rPr>
                <w:sz w:val="24"/>
                <w:color w:val="000000"/>
              </w:rPr>
              <w:t>上一运营季度的运营记录。最后一个运营季度的运营记录应当在最后一个运营月结束后的</w:t>
            </w:r>
            <w:r>
              <w:rPr>
                <w:sz w:val="24"/>
                <w:color w:val="000000"/>
              </w:rPr>
              <w:t>5个日历日内提交。</w:t>
            </w:r>
          </w:p>
          <w:p>
            <w:pPr>
              <w:pStyle w:val="null3"/>
              <w:ind w:firstLine="480"/>
              <w:jc w:val="both"/>
            </w:pPr>
            <w:r>
              <w:rPr>
                <w:sz w:val="24"/>
                <w:color w:val="000000"/>
              </w:rPr>
              <w:t>（</w:t>
            </w:r>
            <w:r>
              <w:rPr>
                <w:sz w:val="24"/>
                <w:color w:val="000000"/>
              </w:rPr>
              <w:t>5）中标单位在合作期限内不得对外投资或从事超出其经营范围的活动。</w:t>
            </w:r>
          </w:p>
          <w:p>
            <w:pPr>
              <w:pStyle w:val="null3"/>
              <w:ind w:firstLine="480"/>
              <w:jc w:val="both"/>
            </w:pPr>
            <w:r>
              <w:rPr>
                <w:sz w:val="24"/>
                <w:color w:val="000000"/>
              </w:rPr>
              <w:t>（</w:t>
            </w:r>
            <w:r>
              <w:rPr>
                <w:sz w:val="24"/>
                <w:color w:val="000000"/>
              </w:rPr>
              <w:t>6）中标单位应于每年12月31日之前提交下一运行年维护计划，将其下一年度的重大维护和更新计划书面通知采购人或其指定机构。</w:t>
            </w:r>
          </w:p>
          <w:p>
            <w:pPr>
              <w:pStyle w:val="null3"/>
              <w:ind w:firstLine="480"/>
              <w:jc w:val="both"/>
            </w:pPr>
            <w:r>
              <w:rPr>
                <w:sz w:val="24"/>
                <w:color w:val="000000"/>
              </w:rPr>
              <w:t>（</w:t>
            </w:r>
            <w:r>
              <w:rPr>
                <w:sz w:val="24"/>
                <w:color w:val="000000"/>
              </w:rPr>
              <w:t>7）中标单位应在中长期经营计划、年度工作报告作出后5个工作日内，将该文件报送采购人或其指定机构备案。</w:t>
            </w:r>
          </w:p>
          <w:p>
            <w:pPr>
              <w:pStyle w:val="null3"/>
              <w:ind w:firstLine="480"/>
              <w:jc w:val="both"/>
            </w:pPr>
            <w:r>
              <w:rPr>
                <w:sz w:val="24"/>
                <w:color w:val="000000"/>
              </w:rPr>
              <w:t>（</w:t>
            </w:r>
            <w:r>
              <w:rPr>
                <w:sz w:val="24"/>
                <w:color w:val="000000"/>
              </w:rPr>
              <w:t>8）中标单位不应因项目设施的运行和维护而造成项目设施场地，包括土壤、地下水或地表水及空气或周围环境的环境污染，并采取一切合理措施避免或尽量减少对项目处理设施周边的干扰。</w:t>
            </w:r>
          </w:p>
          <w:p>
            <w:pPr>
              <w:pStyle w:val="null3"/>
              <w:ind w:firstLine="480"/>
              <w:jc w:val="both"/>
            </w:pPr>
            <w:r>
              <w:rPr>
                <w:sz w:val="24"/>
                <w:color w:val="000000"/>
              </w:rPr>
              <w:t>3</w:t>
            </w:r>
            <w:r>
              <w:rPr>
                <w:sz w:val="24"/>
                <w:color w:val="000000"/>
              </w:rPr>
              <w:t>.3采购人或其指定机构的主要义务</w:t>
            </w:r>
          </w:p>
          <w:p>
            <w:pPr>
              <w:pStyle w:val="null3"/>
              <w:ind w:firstLine="480"/>
              <w:jc w:val="both"/>
            </w:pPr>
            <w:r>
              <w:rPr>
                <w:sz w:val="24"/>
                <w:color w:val="000000"/>
              </w:rPr>
              <w:t>（</w:t>
            </w:r>
            <w:r>
              <w:rPr>
                <w:sz w:val="24"/>
                <w:color w:val="000000"/>
              </w:rPr>
              <w:t>1）采购人或其指定机构应按照招标文件规定支付项目污水处理服务费。</w:t>
            </w:r>
          </w:p>
          <w:p>
            <w:pPr>
              <w:pStyle w:val="null3"/>
              <w:ind w:firstLine="480"/>
              <w:jc w:val="both"/>
            </w:pPr>
            <w:r>
              <w:rPr>
                <w:sz w:val="24"/>
                <w:color w:val="000000"/>
              </w:rPr>
              <w:t>（</w:t>
            </w:r>
            <w:r>
              <w:rPr>
                <w:sz w:val="24"/>
                <w:color w:val="000000"/>
              </w:rPr>
              <w:t>2）协助中标单位处理突发事件</w:t>
            </w:r>
          </w:p>
          <w:p>
            <w:pPr>
              <w:pStyle w:val="null3"/>
              <w:ind w:firstLine="480"/>
              <w:jc w:val="both"/>
            </w:pPr>
            <w:r>
              <w:rPr>
                <w:sz w:val="24"/>
                <w:color w:val="000000"/>
              </w:rPr>
              <w:t>3</w:t>
            </w:r>
            <w:r>
              <w:rPr>
                <w:sz w:val="24"/>
                <w:color w:val="000000"/>
              </w:rPr>
              <w:t>.4暂停服务</w:t>
            </w:r>
          </w:p>
          <w:p>
            <w:pPr>
              <w:pStyle w:val="null3"/>
              <w:ind w:firstLine="480"/>
              <w:jc w:val="both"/>
            </w:pPr>
            <w:r>
              <w:rPr>
                <w:sz w:val="24"/>
                <w:color w:val="000000"/>
              </w:rPr>
              <w:t>（</w:t>
            </w:r>
            <w:r>
              <w:rPr>
                <w:sz w:val="24"/>
                <w:color w:val="000000"/>
              </w:rPr>
              <w:t>1）计划内暂停服务</w:t>
            </w:r>
          </w:p>
          <w:p>
            <w:pPr>
              <w:pStyle w:val="null3"/>
              <w:ind w:firstLine="480"/>
              <w:jc w:val="both"/>
            </w:pPr>
            <w:r>
              <w:rPr>
                <w:sz w:val="24"/>
                <w:color w:val="000000"/>
              </w:rPr>
              <w:t>1）在每一运营年开始前30个日历日，中标单位向采购人或其指定机构报送该年度的运营维护计划时，应申报计划内暂停服务的时间表。每一运营年度内的计划内暂停服务时间不得超过18个日历日。采购人或其指定机构应在该运营年开始前7个工作日作出批准或不批准的决定。中标单位根据批复计划内暂停服务时间表实施。</w:t>
            </w:r>
          </w:p>
          <w:p>
            <w:pPr>
              <w:pStyle w:val="null3"/>
              <w:ind w:firstLine="480"/>
              <w:jc w:val="both"/>
            </w:pPr>
            <w:r>
              <w:rPr>
                <w:sz w:val="24"/>
                <w:color w:val="000000"/>
              </w:rPr>
              <w:t>2）如中标单位因项目设施运营和维护之目的，需要修改经采购人或其指定机构批准的计划内暂停服务时间表，中标单位应当提前30个日历日向采购人或其指定机构提交暂停服务的书面申请和预定的暂停服务起止时间。</w:t>
            </w:r>
          </w:p>
          <w:p>
            <w:pPr>
              <w:pStyle w:val="null3"/>
              <w:ind w:firstLine="480"/>
              <w:jc w:val="both"/>
            </w:pPr>
            <w:r>
              <w:rPr>
                <w:sz w:val="24"/>
                <w:color w:val="000000"/>
              </w:rPr>
              <w:t>3）中标单位提交的计划内暂停服务申请书应包括以下内容：</w:t>
            </w:r>
          </w:p>
          <w:p>
            <w:pPr>
              <w:pStyle w:val="null3"/>
              <w:ind w:firstLine="480"/>
              <w:jc w:val="both"/>
            </w:pPr>
            <w:r>
              <w:rPr>
                <w:sz w:val="24"/>
                <w:color w:val="000000"/>
              </w:rPr>
              <w:t>a.暂停服务的理由；</w:t>
            </w:r>
          </w:p>
          <w:p>
            <w:pPr>
              <w:pStyle w:val="null3"/>
              <w:ind w:firstLine="480"/>
              <w:jc w:val="both"/>
            </w:pPr>
            <w:r>
              <w:rPr>
                <w:sz w:val="24"/>
                <w:color w:val="000000"/>
              </w:rPr>
              <w:t>b.暂停服务的时间；</w:t>
            </w:r>
          </w:p>
          <w:p>
            <w:pPr>
              <w:pStyle w:val="null3"/>
              <w:ind w:firstLine="480"/>
              <w:jc w:val="both"/>
            </w:pPr>
            <w:r>
              <w:rPr>
                <w:sz w:val="24"/>
                <w:color w:val="000000"/>
              </w:rPr>
              <w:t>c.计划内暂停服务期间预计能够处理达标的污水量；</w:t>
            </w:r>
          </w:p>
          <w:p>
            <w:pPr>
              <w:pStyle w:val="null3"/>
              <w:ind w:firstLine="480"/>
              <w:jc w:val="both"/>
            </w:pPr>
            <w:r>
              <w:rPr>
                <w:sz w:val="24"/>
                <w:color w:val="000000"/>
              </w:rPr>
              <w:t>d.恢复服务的大约时间。</w:t>
            </w:r>
          </w:p>
          <w:p>
            <w:pPr>
              <w:pStyle w:val="null3"/>
              <w:ind w:firstLine="480"/>
              <w:jc w:val="both"/>
            </w:pPr>
            <w:r>
              <w:rPr>
                <w:sz w:val="24"/>
                <w:color w:val="000000"/>
              </w:rPr>
              <w:t>4）发生计划内的暂停服务，中标单位不承担不履约的违约责任。</w:t>
            </w:r>
          </w:p>
          <w:p>
            <w:pPr>
              <w:pStyle w:val="null3"/>
              <w:ind w:firstLine="480"/>
              <w:jc w:val="both"/>
            </w:pPr>
            <w:r>
              <w:rPr>
                <w:sz w:val="24"/>
                <w:color w:val="000000"/>
              </w:rPr>
              <w:t>（</w:t>
            </w:r>
            <w:r>
              <w:rPr>
                <w:sz w:val="24"/>
                <w:color w:val="000000"/>
              </w:rPr>
              <w:t>2）计划外暂停服务</w:t>
            </w:r>
          </w:p>
          <w:p>
            <w:pPr>
              <w:pStyle w:val="null3"/>
              <w:ind w:firstLine="480"/>
              <w:jc w:val="both"/>
            </w:pPr>
            <w:r>
              <w:rPr>
                <w:sz w:val="24"/>
                <w:color w:val="000000"/>
              </w:rPr>
              <w:t>1）如果发生计划外暂停服务，中标单位应在暂停服务发生后及时通知采购人或其指定机构，说明计划外暂停服务的原因、报告暂停服务可能持续的时间并提出更正暂停服务的建议。中标单位应尽其最大努力在发现或通知服务暂停后尽快恢复正常服务。</w:t>
            </w:r>
          </w:p>
          <w:p>
            <w:pPr>
              <w:pStyle w:val="null3"/>
              <w:ind w:firstLine="480"/>
              <w:jc w:val="both"/>
            </w:pPr>
            <w:r>
              <w:rPr>
                <w:sz w:val="24"/>
                <w:color w:val="000000"/>
              </w:rPr>
              <w:t>2）如果暂停服务时间预期超过24小时，则中标单位应考虑采购人或其指定机构关于处理暂停服务的建议或意见。</w:t>
            </w:r>
          </w:p>
          <w:p>
            <w:pPr>
              <w:pStyle w:val="null3"/>
              <w:ind w:firstLine="480"/>
              <w:jc w:val="both"/>
            </w:pPr>
            <w:r>
              <w:rPr>
                <w:sz w:val="24"/>
                <w:color w:val="000000"/>
              </w:rPr>
              <w:t>3）如果必要的更改措施预期需要超过48小时，中标单位应通知采购人或其指定机构，并应尽最大努力使得计划外暂停服务的影响减到最小。</w:t>
            </w:r>
          </w:p>
          <w:p>
            <w:pPr>
              <w:pStyle w:val="null3"/>
              <w:ind w:firstLine="480"/>
              <w:jc w:val="both"/>
            </w:pPr>
            <w:r>
              <w:rPr>
                <w:sz w:val="24"/>
                <w:color w:val="000000"/>
              </w:rPr>
              <w:t>4）如由于中标单位原因导致计划外暂停服务，则中标单位应承担相应的违约责任。</w:t>
            </w:r>
          </w:p>
          <w:p>
            <w:pPr>
              <w:pStyle w:val="null3"/>
              <w:ind w:firstLine="480"/>
              <w:jc w:val="both"/>
            </w:pPr>
            <w:r>
              <w:rPr>
                <w:sz w:val="24"/>
                <w:color w:val="000000"/>
              </w:rPr>
              <w:t>5）如由于采购人或其指定机构原因导致计划外暂停服务，则采购人或其指定机构应承担相应的责任，中标单位可向采购人或其指定机构索赔因此造成的费用损失和/或申请延展项目合作期限。</w:t>
            </w:r>
          </w:p>
          <w:p>
            <w:pPr>
              <w:pStyle w:val="null3"/>
              <w:jc w:val="left"/>
            </w:pPr>
            <w:r>
              <w:rPr>
                <w:sz w:val="24"/>
                <w:color w:val="000000"/>
              </w:rPr>
              <w:t>6）如因中性原因导致计划外暂停服务，则由甲乙双方共担风险，均不承担对对方的任何违约责任。</w:t>
            </w:r>
          </w:p>
        </w:tc>
      </w:tr>
      <w:tr>
        <w:tc>
          <w:tcPr>
            <w:tcW w:type="dxa" w:w="2076"/>
          </w:tcPr>
          <w:p/>
        </w:tc>
        <w:tc>
          <w:tcPr>
            <w:tcW w:type="dxa" w:w="415"/>
          </w:tcPr>
          <w:p>
            <w:pPr>
              <w:pStyle w:val="null3"/>
            </w:pPr>
            <w:r>
              <w:rPr/>
              <w:t>4</w:t>
            </w:r>
          </w:p>
        </w:tc>
        <w:tc>
          <w:tcPr>
            <w:tcW w:type="dxa" w:w="5814"/>
          </w:tcPr>
          <w:p>
            <w:pPr>
              <w:pStyle w:val="null3"/>
              <w:ind w:firstLine="482"/>
              <w:jc w:val="both"/>
            </w:pPr>
            <w:r>
              <w:rPr>
                <w:sz w:val="24"/>
                <w:b/>
                <w:color w:val="000000"/>
              </w:rPr>
              <w:t>4</w:t>
            </w:r>
            <w:r>
              <w:rPr>
                <w:sz w:val="24"/>
                <w:b/>
                <w:color w:val="000000"/>
              </w:rPr>
              <w:t>、采购人或其指定机构对项目运营的监督和介入</w:t>
            </w:r>
          </w:p>
          <w:p>
            <w:pPr>
              <w:pStyle w:val="null3"/>
              <w:ind w:firstLine="480"/>
              <w:jc w:val="both"/>
            </w:pPr>
            <w:r>
              <w:rPr>
                <w:sz w:val="24"/>
                <w:color w:val="000000"/>
              </w:rPr>
              <w:t>4</w:t>
            </w:r>
            <w:r>
              <w:rPr>
                <w:sz w:val="24"/>
                <w:color w:val="000000"/>
              </w:rPr>
              <w:t>.1采购人或其指定机构有权指定代表进入本合同项下污水处理设施，以检查污水处理设施的运营和维护情况，但不得干涉、延误、干扰中标单位履行其在本合同项下的权利和义务。</w:t>
            </w:r>
          </w:p>
          <w:p>
            <w:pPr>
              <w:pStyle w:val="null3"/>
              <w:ind w:firstLine="480"/>
              <w:jc w:val="both"/>
            </w:pPr>
            <w:r>
              <w:rPr>
                <w:sz w:val="24"/>
                <w:color w:val="000000"/>
              </w:rPr>
              <w:t>4</w:t>
            </w:r>
            <w:r>
              <w:rPr>
                <w:sz w:val="24"/>
                <w:color w:val="000000"/>
              </w:rPr>
              <w:t>.2采购人或其指定机构指定的代表有权检查中标单位的生产记录、设备检修和检测记录。中标单位应对采购人或其指定机构指定的代表提出的问题作出合理解答。</w:t>
            </w:r>
          </w:p>
          <w:p>
            <w:pPr>
              <w:pStyle w:val="null3"/>
              <w:jc w:val="left"/>
            </w:pPr>
            <w:r>
              <w:rPr>
                <w:sz w:val="24"/>
                <w:color w:val="000000"/>
              </w:rPr>
              <w:t>4</w:t>
            </w:r>
            <w:r>
              <w:rPr>
                <w:sz w:val="24"/>
                <w:color w:val="000000"/>
              </w:rPr>
              <w:t>.3采购人或其指定机构有权委托第三方机构开展项目中期评估和后期评价，检测、评估的费用由采购人承担。</w:t>
            </w:r>
          </w:p>
        </w:tc>
      </w:tr>
      <w:tr>
        <w:tc>
          <w:tcPr>
            <w:tcW w:type="dxa" w:w="2076"/>
          </w:tcPr>
          <w:p/>
        </w:tc>
        <w:tc>
          <w:tcPr>
            <w:tcW w:type="dxa" w:w="415"/>
          </w:tcPr>
          <w:p>
            <w:pPr>
              <w:pStyle w:val="null3"/>
            </w:pPr>
            <w:r>
              <w:rPr/>
              <w:t>5</w:t>
            </w:r>
          </w:p>
        </w:tc>
        <w:tc>
          <w:tcPr>
            <w:tcW w:type="dxa" w:w="5814"/>
          </w:tcPr>
          <w:p>
            <w:pPr>
              <w:pStyle w:val="null3"/>
              <w:ind w:firstLine="482"/>
              <w:jc w:val="both"/>
            </w:pPr>
            <w:r>
              <w:rPr>
                <w:sz w:val="24"/>
                <w:b/>
                <w:color w:val="000000"/>
              </w:rPr>
              <w:t>5、运营维护手册</w:t>
            </w:r>
          </w:p>
          <w:p>
            <w:pPr>
              <w:pStyle w:val="null3"/>
              <w:ind w:firstLine="480"/>
              <w:jc w:val="both"/>
            </w:pPr>
            <w:r>
              <w:rPr>
                <w:sz w:val="24"/>
                <w:color w:val="000000"/>
              </w:rPr>
              <w:t>5.1在开始运营日之前，中标单位应根据适用法律和谨慎运营惯例编制污水处理设施的运营维护手册（下称“手册”），并应根据污水处理设施运营和维护的实际情况随时对该手册进行修改和完善。</w:t>
            </w:r>
          </w:p>
          <w:p>
            <w:pPr>
              <w:pStyle w:val="null3"/>
              <w:ind w:firstLine="480"/>
              <w:jc w:val="both"/>
            </w:pPr>
            <w:r>
              <w:rPr>
                <w:sz w:val="24"/>
                <w:color w:val="000000"/>
              </w:rPr>
              <w:t>5.2手册应包括日常运营维护、进行定期和年度检查、大修维护和年度维护的程序和计划，以及调整和改进检验及维护安排的程序和计划。</w:t>
            </w:r>
          </w:p>
          <w:p>
            <w:pPr>
              <w:pStyle w:val="null3"/>
              <w:jc w:val="left"/>
            </w:pPr>
            <w:r>
              <w:rPr>
                <w:sz w:val="24"/>
                <w:color w:val="000000"/>
              </w:rPr>
              <w:t>5.3手册应列明事故应急处理办法及事故处理所需的备品备件。</w:t>
            </w:r>
          </w:p>
        </w:tc>
      </w:tr>
      <w:tr>
        <w:tc>
          <w:tcPr>
            <w:tcW w:type="dxa" w:w="2076"/>
          </w:tcPr>
          <w:p/>
        </w:tc>
        <w:tc>
          <w:tcPr>
            <w:tcW w:type="dxa" w:w="415"/>
          </w:tcPr>
          <w:p>
            <w:pPr>
              <w:pStyle w:val="null3"/>
            </w:pPr>
            <w:r>
              <w:rPr/>
              <w:t>6</w:t>
            </w:r>
          </w:p>
        </w:tc>
        <w:tc>
          <w:tcPr>
            <w:tcW w:type="dxa" w:w="5814"/>
          </w:tcPr>
          <w:p>
            <w:pPr>
              <w:pStyle w:val="null3"/>
              <w:ind w:firstLine="482"/>
              <w:jc w:val="both"/>
            </w:pPr>
            <w:r>
              <w:rPr>
                <w:sz w:val="24"/>
                <w:b/>
                <w:color w:val="000000"/>
              </w:rPr>
              <w:t>6、未履行维护义务</w:t>
            </w:r>
          </w:p>
          <w:p>
            <w:pPr>
              <w:pStyle w:val="null3"/>
              <w:ind w:firstLine="480"/>
              <w:jc w:val="both"/>
            </w:pPr>
            <w:r>
              <w:rPr>
                <w:sz w:val="24"/>
                <w:color w:val="000000"/>
              </w:rPr>
              <w:t>6.1如果中标单位违反第三点《技术参数（服务要求）》第3条运营期间的权利和义务中所涉及的项目设施维护的义务，采购人或其指定机构可就该违约向中标单位发出通知，限期完成纠正性维护。中标单位在接到上述通知后应对项目设施进行必要的纠正性维护。如中标单位未在该限期内进行纠正性维护，采购人</w:t>
            </w:r>
          </w:p>
          <w:p>
            <w:pPr>
              <w:pStyle w:val="null3"/>
              <w:jc w:val="both"/>
            </w:pPr>
            <w:r>
              <w:rPr>
                <w:sz w:val="24"/>
                <w:color w:val="000000"/>
              </w:rPr>
              <w:t>或其指定机构可以但无义务自行采取必要的纠正措施，中标单位应对此予以配合，并承担因此而发生的全部费用。</w:t>
            </w:r>
          </w:p>
          <w:p>
            <w:pPr>
              <w:pStyle w:val="null3"/>
              <w:jc w:val="left"/>
            </w:pPr>
            <w:r>
              <w:rPr>
                <w:sz w:val="24"/>
                <w:color w:val="000000"/>
              </w:rPr>
              <w:t>6.2就为采取上述纠正措施而发生的费用，采购人或其指定机构应向中标单位开具账单和所发生费用的详细清单，如果中标单位在收到该账单后7个工作日内未能全额支付账单所列金额，采购人有权在应支付的当季度污水处理服务费中抵扣账单所列金额。</w:t>
            </w:r>
          </w:p>
        </w:tc>
      </w:tr>
      <w:tr>
        <w:tc>
          <w:tcPr>
            <w:tcW w:type="dxa" w:w="2076"/>
          </w:tcPr>
          <w:p/>
        </w:tc>
        <w:tc>
          <w:tcPr>
            <w:tcW w:type="dxa" w:w="415"/>
          </w:tcPr>
          <w:p>
            <w:pPr>
              <w:pStyle w:val="null3"/>
            </w:pPr>
            <w:r>
              <w:rPr/>
              <w:t>7</w:t>
            </w:r>
          </w:p>
        </w:tc>
        <w:tc>
          <w:tcPr>
            <w:tcW w:type="dxa" w:w="5814"/>
          </w:tcPr>
          <w:p>
            <w:pPr>
              <w:pStyle w:val="null3"/>
              <w:ind w:firstLine="482"/>
              <w:jc w:val="both"/>
            </w:pPr>
            <w:r>
              <w:rPr>
                <w:sz w:val="24"/>
                <w:b/>
                <w:color w:val="000000"/>
              </w:rPr>
              <w:t>7、水样采集和储存及水质检测</w:t>
            </w:r>
          </w:p>
          <w:p>
            <w:pPr>
              <w:pStyle w:val="null3"/>
              <w:ind w:firstLine="480"/>
              <w:jc w:val="both"/>
            </w:pPr>
            <w:r>
              <w:rPr>
                <w:sz w:val="24"/>
                <w:color w:val="000000"/>
              </w:rPr>
              <w:t>7.1水样的采集和储存应满足国家规定的技术规范的相应要求；</w:t>
            </w:r>
          </w:p>
          <w:p>
            <w:pPr>
              <w:pStyle w:val="null3"/>
              <w:ind w:firstLine="480"/>
              <w:jc w:val="both"/>
            </w:pPr>
            <w:r>
              <w:rPr>
                <w:sz w:val="24"/>
                <w:color w:val="000000"/>
              </w:rPr>
              <w:t>7.2用于检测水质的进水水样和出水水样应分别在污水进水采样点和污水出水采样点采集；</w:t>
            </w:r>
          </w:p>
          <w:p>
            <w:pPr>
              <w:pStyle w:val="null3"/>
              <w:ind w:firstLine="480"/>
              <w:jc w:val="both"/>
            </w:pPr>
            <w:r>
              <w:rPr>
                <w:sz w:val="24"/>
                <w:color w:val="000000"/>
              </w:rPr>
              <w:t>7.3对进水水质、出水水质进行检测的指标、项目、检测周期、频次和检测方法、标准应符合国家规定的技术规范和要求的规定并参照最新颁布实施的国家和行业标准、当地生态环境部门要求；</w:t>
            </w:r>
          </w:p>
          <w:p>
            <w:pPr>
              <w:pStyle w:val="null3"/>
              <w:ind w:firstLine="480"/>
              <w:jc w:val="both"/>
            </w:pPr>
            <w:r>
              <w:rPr>
                <w:sz w:val="24"/>
                <w:color w:val="000000"/>
              </w:rPr>
              <w:t>7.4中标单位应于每个运营月结束后10个运营日内向采购人或其指定机构提交上一运营月的进水和出水日常检测报表；</w:t>
            </w:r>
          </w:p>
          <w:p>
            <w:pPr>
              <w:pStyle w:val="null3"/>
              <w:ind w:firstLine="480"/>
              <w:jc w:val="both"/>
            </w:pPr>
            <w:r>
              <w:rPr>
                <w:sz w:val="24"/>
                <w:color w:val="000000"/>
              </w:rPr>
              <w:t>7.5中标单位发现任何一种进水水质超出浓度限值或出水水质指标超标，应立即以电话与传真或电子邮件的形式通知采购人或其指定机构，并在48小时之内寄送书面通知至采购人或其指定机构。上述通知应包括所有有关测试结果以及就此等超标情况所作的其他有关调查的结果的详情。针对出水水质超标，还应包括中标单位对超标情况可能持续的期限所作的最佳和最坏预测，以及引起此等情况的原因，包括中标单位声称的任何有关不可抗力的详情和所采取的补救措施的详细描述；</w:t>
            </w:r>
          </w:p>
          <w:p>
            <w:pPr>
              <w:pStyle w:val="null3"/>
              <w:ind w:firstLine="480"/>
              <w:jc w:val="both"/>
            </w:pPr>
            <w:r>
              <w:rPr>
                <w:sz w:val="24"/>
                <w:color w:val="000000"/>
              </w:rPr>
              <w:t>7.6采购人或其指定的有资质的检验机构有权对中标单位的检测程序、仪器、设备和结果进行现场检查检测和核实。该等检查或核实的费用应由采购人或其指定机构承担。</w:t>
            </w:r>
          </w:p>
          <w:p>
            <w:pPr>
              <w:pStyle w:val="null3"/>
              <w:jc w:val="left"/>
            </w:pPr>
            <w:r>
              <w:rPr>
                <w:sz w:val="24"/>
                <w:color w:val="000000"/>
              </w:rPr>
              <w:t>7.7采购人或其指定机构核实或检查的结果与中标单位自检结果存在实质性差异时，采购人或其指定机构应将其核实或抽查的结果报告在结果出来后3个工作日内提供给中标单位，中标单位在收到该等结果报告后的3个工作日内未表示反对的，视为其同意采购人的核实结果，否则双方应聘请双方认可的有资质的第三方进行检测，以第三方结果为准。聘请第三方检测的细则由双方另行约定。</w:t>
            </w:r>
          </w:p>
        </w:tc>
      </w:tr>
      <w:tr>
        <w:tc>
          <w:tcPr>
            <w:tcW w:type="dxa" w:w="2076"/>
          </w:tcPr>
          <w:p/>
        </w:tc>
        <w:tc>
          <w:tcPr>
            <w:tcW w:type="dxa" w:w="415"/>
          </w:tcPr>
          <w:p>
            <w:pPr>
              <w:pStyle w:val="null3"/>
            </w:pPr>
            <w:r>
              <w:rPr/>
              <w:t>8</w:t>
            </w:r>
          </w:p>
        </w:tc>
        <w:tc>
          <w:tcPr>
            <w:tcW w:type="dxa" w:w="5814"/>
          </w:tcPr>
          <w:p>
            <w:pPr>
              <w:pStyle w:val="null3"/>
              <w:ind w:firstLine="482"/>
              <w:jc w:val="both"/>
            </w:pPr>
            <w:r>
              <w:rPr>
                <w:sz w:val="24"/>
                <w:b/>
                <w:color w:val="000000"/>
              </w:rPr>
              <w:t>8、污水出水水质的超标值和期间</w:t>
            </w:r>
          </w:p>
          <w:p>
            <w:pPr>
              <w:pStyle w:val="null3"/>
              <w:ind w:firstLine="480"/>
              <w:jc w:val="both"/>
            </w:pPr>
            <w:r>
              <w:rPr>
                <w:sz w:val="24"/>
                <w:color w:val="000000"/>
              </w:rPr>
              <w:t>在运营期内，双方仅按以下方式确定污水出水水质的超标值和期间：</w:t>
            </w:r>
          </w:p>
          <w:p>
            <w:pPr>
              <w:pStyle w:val="null3"/>
              <w:ind w:firstLine="480"/>
              <w:jc w:val="both"/>
            </w:pPr>
            <w:r>
              <w:rPr>
                <w:sz w:val="24"/>
                <w:color w:val="000000"/>
              </w:rPr>
              <w:t>8</w:t>
            </w:r>
            <w:r>
              <w:rPr>
                <w:sz w:val="24"/>
                <w:color w:val="000000"/>
              </w:rPr>
              <w:t>.1如果中标单位根据第</w:t>
            </w:r>
            <w:r>
              <w:rPr>
                <w:sz w:val="24"/>
                <w:color w:val="000000"/>
              </w:rPr>
              <w:t>7</w:t>
            </w:r>
            <w:r>
              <w:rPr>
                <w:sz w:val="24"/>
                <w:color w:val="000000"/>
              </w:rPr>
              <w:t>.4条提交的出水日常检测报表显示污水出水水质存在超标，污水出水水质的超标值以该报表为准；</w:t>
            </w:r>
          </w:p>
          <w:p>
            <w:pPr>
              <w:pStyle w:val="null3"/>
              <w:ind w:firstLine="480"/>
              <w:jc w:val="both"/>
            </w:pPr>
            <w:r>
              <w:rPr>
                <w:sz w:val="24"/>
                <w:color w:val="000000"/>
              </w:rPr>
              <w:t>8</w:t>
            </w:r>
            <w:r>
              <w:rPr>
                <w:sz w:val="24"/>
                <w:color w:val="000000"/>
              </w:rPr>
              <w:t>.2如果中标单位根据第</w:t>
            </w:r>
            <w:r>
              <w:rPr>
                <w:sz w:val="24"/>
                <w:color w:val="000000"/>
              </w:rPr>
              <w:t>7</w:t>
            </w:r>
            <w:r>
              <w:rPr>
                <w:sz w:val="24"/>
                <w:color w:val="000000"/>
              </w:rPr>
              <w:t>.5条书面通知采购人或其指定机构出水质存在超标，污水出水水质的超标值以中标单位的通知描述为准；</w:t>
            </w:r>
          </w:p>
          <w:p>
            <w:pPr>
              <w:pStyle w:val="null3"/>
              <w:ind w:firstLine="480"/>
              <w:jc w:val="both"/>
            </w:pPr>
            <w:r>
              <w:rPr>
                <w:sz w:val="24"/>
                <w:color w:val="000000"/>
              </w:rPr>
              <w:t>8</w:t>
            </w:r>
            <w:r>
              <w:rPr>
                <w:sz w:val="24"/>
                <w:color w:val="000000"/>
              </w:rPr>
              <w:t>.3如果采购人或其指定机构根据第</w:t>
            </w:r>
            <w:r>
              <w:rPr>
                <w:sz w:val="24"/>
                <w:color w:val="000000"/>
              </w:rPr>
              <w:t>7</w:t>
            </w:r>
            <w:r>
              <w:rPr>
                <w:sz w:val="24"/>
                <w:color w:val="000000"/>
              </w:rPr>
              <w:t>.6条和第</w:t>
            </w:r>
            <w:r>
              <w:rPr>
                <w:sz w:val="24"/>
                <w:color w:val="000000"/>
              </w:rPr>
              <w:t>7</w:t>
            </w:r>
            <w:r>
              <w:rPr>
                <w:sz w:val="24"/>
                <w:color w:val="000000"/>
              </w:rPr>
              <w:t>.7条规定核实的结果表明污水出水水质存在超标，污水出水水质的超标的期间为本次核实之运营日，污水出水水质的超标值以采购人或其指定机构或第三方机构核实为准。</w:t>
            </w:r>
          </w:p>
          <w:p>
            <w:pPr>
              <w:pStyle w:val="null3"/>
              <w:jc w:val="left"/>
            </w:pPr>
            <w:r>
              <w:rPr>
                <w:sz w:val="24"/>
                <w:color w:val="000000"/>
              </w:rPr>
              <w:t>8</w:t>
            </w:r>
            <w:r>
              <w:rPr>
                <w:sz w:val="24"/>
                <w:color w:val="000000"/>
              </w:rPr>
              <w:t>.4上述3款如有冲突，以第</w:t>
            </w:r>
            <w:r>
              <w:rPr>
                <w:sz w:val="24"/>
                <w:color w:val="000000"/>
              </w:rPr>
              <w:t>8</w:t>
            </w:r>
            <w:r>
              <w:rPr>
                <w:sz w:val="24"/>
                <w:color w:val="000000"/>
              </w:rPr>
              <w:t>.3条为准。</w:t>
            </w:r>
          </w:p>
        </w:tc>
      </w:tr>
      <w:tr>
        <w:tc>
          <w:tcPr>
            <w:tcW w:type="dxa" w:w="2076"/>
          </w:tcPr>
          <w:p/>
        </w:tc>
        <w:tc>
          <w:tcPr>
            <w:tcW w:type="dxa" w:w="415"/>
          </w:tcPr>
          <w:p>
            <w:pPr>
              <w:pStyle w:val="null3"/>
            </w:pPr>
            <w:r>
              <w:rPr/>
              <w:t>9</w:t>
            </w:r>
          </w:p>
        </w:tc>
        <w:tc>
          <w:tcPr>
            <w:tcW w:type="dxa" w:w="5814"/>
          </w:tcPr>
          <w:p>
            <w:pPr>
              <w:pStyle w:val="null3"/>
              <w:ind w:firstLine="482"/>
              <w:jc w:val="both"/>
            </w:pPr>
            <w:r>
              <w:rPr>
                <w:sz w:val="24"/>
                <w:b/>
                <w:color w:val="000000"/>
              </w:rPr>
              <w:t>9、污水出水水质超标的处理</w:t>
            </w:r>
          </w:p>
          <w:p>
            <w:pPr>
              <w:pStyle w:val="null3"/>
              <w:ind w:firstLine="480"/>
              <w:jc w:val="both"/>
            </w:pPr>
            <w:r>
              <w:rPr>
                <w:sz w:val="24"/>
                <w:color w:val="000000"/>
              </w:rPr>
              <w:t>在运营期内，如果污水出水水质超标，按下列方法处理：</w:t>
            </w:r>
          </w:p>
          <w:p>
            <w:pPr>
              <w:pStyle w:val="null3"/>
              <w:ind w:firstLine="480"/>
              <w:jc w:val="both"/>
            </w:pPr>
            <w:r>
              <w:rPr>
                <w:sz w:val="24"/>
                <w:color w:val="000000"/>
              </w:rPr>
              <w:t>9</w:t>
            </w:r>
            <w:r>
              <w:rPr>
                <w:sz w:val="24"/>
                <w:color w:val="000000"/>
              </w:rPr>
              <w:t>.1当日均进水水质不超出浓度限值、污水进水量不大于设计规模时，如果出水水质超标，视中标单位违约，中标单位应接受</w:t>
            </w:r>
            <w:r>
              <w:rPr>
                <w:sz w:val="24"/>
                <w:color w:val="000000"/>
              </w:rPr>
              <w:t>生态</w:t>
            </w:r>
            <w:r>
              <w:rPr>
                <w:sz w:val="24"/>
                <w:color w:val="000000"/>
              </w:rPr>
              <w:t>环境部门依据适用法律对项目</w:t>
            </w:r>
            <w:r>
              <w:rPr>
                <w:sz w:val="24"/>
                <w:color w:val="000000"/>
              </w:rPr>
              <w:t>运营</w:t>
            </w:r>
            <w:r>
              <w:rPr>
                <w:sz w:val="24"/>
                <w:color w:val="000000"/>
              </w:rPr>
              <w:t>公司进行的罚款。</w:t>
            </w:r>
          </w:p>
          <w:p>
            <w:pPr>
              <w:pStyle w:val="null3"/>
              <w:ind w:firstLine="480"/>
              <w:jc w:val="both"/>
            </w:pPr>
            <w:r>
              <w:rPr>
                <w:sz w:val="24"/>
                <w:color w:val="000000"/>
              </w:rPr>
              <w:t>9</w:t>
            </w:r>
            <w:r>
              <w:rPr>
                <w:sz w:val="24"/>
                <w:color w:val="000000"/>
              </w:rPr>
              <w:t>.2当日均进水水质浓度超出浓度限值，中标单位应按应急预案立即采取应急处理措施，并及时将该情况报告采购人或其指定机构、城镇排水主管部门，在中标单位依法采取前述措施后，不视为中标单位违约，中标单位不承担任何责任（如中标单位仍被相关部门、单位处罚、追究责任的，由采购人协助中标单位协调相关部门、单位免除中标单位的责任），且不影响中标单位收取污水处理服务费。采购人或其指定机构应协调相关部门及时核查处理相关污水排放单位，禁止其排放不符合要求的污水。如因进水水质超出浓度限值、超过进水水质限制指标而导致中标单位设施、设备损坏、损失的，采购人或其指定机构协助督促相关排污责任单位给予赔偿。</w:t>
            </w:r>
          </w:p>
          <w:p>
            <w:pPr>
              <w:pStyle w:val="null3"/>
              <w:jc w:val="left"/>
            </w:pPr>
            <w:r>
              <w:rPr>
                <w:sz w:val="24"/>
                <w:color w:val="000000"/>
              </w:rPr>
              <w:t>9</w:t>
            </w:r>
            <w:r>
              <w:rPr>
                <w:sz w:val="24"/>
                <w:color w:val="000000"/>
              </w:rPr>
              <w:t>.3如遇上述情况，中标单位未及时向采购人或其指定机构及其相应的职能部门报告，而引发的责任应由中标单位自行承担。</w:t>
            </w:r>
          </w:p>
        </w:tc>
      </w:tr>
      <w:tr>
        <w:tc>
          <w:tcPr>
            <w:tcW w:type="dxa" w:w="2076"/>
          </w:tcPr>
          <w:p/>
        </w:tc>
        <w:tc>
          <w:tcPr>
            <w:tcW w:type="dxa" w:w="415"/>
          </w:tcPr>
          <w:p>
            <w:pPr>
              <w:pStyle w:val="null3"/>
            </w:pPr>
            <w:r>
              <w:rPr/>
              <w:t>10</w:t>
            </w:r>
          </w:p>
        </w:tc>
        <w:tc>
          <w:tcPr>
            <w:tcW w:type="dxa" w:w="5814"/>
          </w:tcPr>
          <w:p>
            <w:pPr>
              <w:pStyle w:val="null3"/>
              <w:ind w:firstLine="482"/>
              <w:jc w:val="both"/>
            </w:pPr>
            <w:r>
              <w:rPr>
                <w:sz w:val="24"/>
                <w:b/>
                <w:color w:val="000000"/>
              </w:rPr>
              <w:t>10、污水进水水量的超额的处理</w:t>
            </w:r>
          </w:p>
          <w:p>
            <w:pPr>
              <w:pStyle w:val="null3"/>
              <w:jc w:val="left"/>
            </w:pPr>
            <w:r>
              <w:rPr>
                <w:sz w:val="24"/>
                <w:color w:val="000000"/>
              </w:rPr>
              <w:t>在运营期内，如来水量超出设计处理规模</w:t>
            </w:r>
            <w:r>
              <w:rPr>
                <w:sz w:val="24"/>
                <w:color w:val="000000"/>
              </w:rPr>
              <w:t>20</w:t>
            </w:r>
            <w:r>
              <w:rPr>
                <w:sz w:val="24"/>
                <w:color w:val="000000"/>
              </w:rPr>
              <w:t>%以上，中标单位根据运营惯例和经验判断可能无法处理或可能对项目设施造成损坏的，中标单位可拒绝接收超量来水，不需承担任何责任。</w:t>
            </w:r>
          </w:p>
        </w:tc>
      </w:tr>
      <w:tr>
        <w:tc>
          <w:tcPr>
            <w:tcW w:type="dxa" w:w="2076"/>
          </w:tcPr>
          <w:p/>
        </w:tc>
        <w:tc>
          <w:tcPr>
            <w:tcW w:type="dxa" w:w="415"/>
          </w:tcPr>
          <w:p>
            <w:pPr>
              <w:pStyle w:val="null3"/>
            </w:pPr>
            <w:r>
              <w:rPr/>
              <w:t>11</w:t>
            </w:r>
          </w:p>
        </w:tc>
        <w:tc>
          <w:tcPr>
            <w:tcW w:type="dxa" w:w="5814"/>
          </w:tcPr>
          <w:p>
            <w:pPr>
              <w:pStyle w:val="null3"/>
              <w:ind w:firstLine="482"/>
              <w:jc w:val="both"/>
            </w:pPr>
            <w:r>
              <w:rPr>
                <w:sz w:val="24"/>
                <w:b/>
                <w:color w:val="000000"/>
              </w:rPr>
              <w:t>11、公共安全</w:t>
            </w:r>
          </w:p>
          <w:p>
            <w:pPr>
              <w:pStyle w:val="null3"/>
              <w:jc w:val="left"/>
            </w:pPr>
            <w:r>
              <w:rPr>
                <w:sz w:val="24"/>
                <w:color w:val="000000"/>
              </w:rPr>
              <w:t>中标单位应根据有关公共卫生和安全的适用法律以及本合同的规定，确保项目设施的安全运营。</w:t>
            </w:r>
          </w:p>
        </w:tc>
      </w:tr>
      <w:tr>
        <w:tc>
          <w:tcPr>
            <w:tcW w:type="dxa" w:w="2076"/>
          </w:tcPr>
          <w:p/>
        </w:tc>
        <w:tc>
          <w:tcPr>
            <w:tcW w:type="dxa" w:w="415"/>
          </w:tcPr>
          <w:p>
            <w:pPr>
              <w:pStyle w:val="null3"/>
            </w:pPr>
            <w:r>
              <w:rPr/>
              <w:t>12</w:t>
            </w:r>
          </w:p>
        </w:tc>
        <w:tc>
          <w:tcPr>
            <w:tcW w:type="dxa" w:w="5814"/>
          </w:tcPr>
          <w:p>
            <w:pPr>
              <w:pStyle w:val="null3"/>
              <w:ind w:firstLine="482"/>
              <w:jc w:val="both"/>
            </w:pPr>
            <w:r>
              <w:rPr>
                <w:sz w:val="24"/>
                <w:b/>
                <w:color w:val="000000"/>
              </w:rPr>
              <w:t>12、公众监督</w:t>
            </w:r>
          </w:p>
          <w:p>
            <w:pPr>
              <w:pStyle w:val="null3"/>
              <w:ind w:firstLine="480"/>
              <w:jc w:val="both"/>
            </w:pPr>
            <w:r>
              <w:rPr>
                <w:sz w:val="24"/>
                <w:color w:val="000000"/>
              </w:rPr>
              <w:t>中标单位有依法向公众公开披露相关信息，接受社会监督的义务。中标单位在运营期间需要公开披露的信息主要包括：</w:t>
            </w:r>
          </w:p>
          <w:p>
            <w:pPr>
              <w:pStyle w:val="null3"/>
              <w:ind w:firstLine="480"/>
              <w:jc w:val="both"/>
            </w:pPr>
            <w:r>
              <w:rPr>
                <w:sz w:val="24"/>
                <w:color w:val="000000"/>
              </w:rPr>
              <w:t>1</w:t>
            </w:r>
            <w:r>
              <w:rPr>
                <w:sz w:val="24"/>
                <w:color w:val="000000"/>
              </w:rPr>
              <w:t>2</w:t>
            </w:r>
            <w:r>
              <w:rPr>
                <w:sz w:val="24"/>
                <w:color w:val="000000"/>
              </w:rPr>
              <w:t>.1污水处理设施的污水处理量；</w:t>
            </w:r>
          </w:p>
          <w:p>
            <w:pPr>
              <w:pStyle w:val="null3"/>
              <w:ind w:firstLine="480"/>
              <w:jc w:val="both"/>
            </w:pPr>
            <w:r>
              <w:rPr>
                <w:sz w:val="24"/>
                <w:color w:val="000000"/>
              </w:rPr>
              <w:t>1</w:t>
            </w:r>
            <w:r>
              <w:rPr>
                <w:sz w:val="24"/>
                <w:color w:val="000000"/>
              </w:rPr>
              <w:t>2</w:t>
            </w:r>
            <w:r>
              <w:rPr>
                <w:sz w:val="24"/>
                <w:color w:val="000000"/>
              </w:rPr>
              <w:t>.2污水处理设施的主要污染物削减量；</w:t>
            </w:r>
          </w:p>
          <w:p>
            <w:pPr>
              <w:pStyle w:val="null3"/>
              <w:jc w:val="left"/>
            </w:pPr>
            <w:r>
              <w:rPr>
                <w:sz w:val="24"/>
                <w:color w:val="000000"/>
              </w:rPr>
              <w:t>1</w:t>
            </w:r>
            <w:r>
              <w:rPr>
                <w:sz w:val="24"/>
                <w:color w:val="000000"/>
              </w:rPr>
              <w:t>2</w:t>
            </w:r>
            <w:r>
              <w:rPr>
                <w:sz w:val="24"/>
                <w:color w:val="000000"/>
              </w:rPr>
              <w:t>.3污水处理设施出水水质状况等。</w:t>
            </w:r>
          </w:p>
        </w:tc>
      </w:tr>
      <w:tr>
        <w:tc>
          <w:tcPr>
            <w:tcW w:type="dxa" w:w="2076"/>
          </w:tcPr>
          <w:p/>
        </w:tc>
        <w:tc>
          <w:tcPr>
            <w:tcW w:type="dxa" w:w="415"/>
          </w:tcPr>
          <w:p>
            <w:pPr>
              <w:pStyle w:val="null3"/>
            </w:pPr>
            <w:r>
              <w:rPr/>
              <w:t>13</w:t>
            </w:r>
          </w:p>
        </w:tc>
        <w:tc>
          <w:tcPr>
            <w:tcW w:type="dxa" w:w="5814"/>
          </w:tcPr>
          <w:p>
            <w:pPr>
              <w:pStyle w:val="null3"/>
              <w:ind w:firstLine="482"/>
              <w:jc w:val="both"/>
            </w:pPr>
            <w:r>
              <w:rPr>
                <w:sz w:val="24"/>
                <w:b/>
                <w:color w:val="000000"/>
              </w:rPr>
              <w:t>13、工艺升级</w:t>
            </w:r>
          </w:p>
          <w:p>
            <w:pPr>
              <w:pStyle w:val="null3"/>
              <w:jc w:val="left"/>
            </w:pPr>
            <w:r>
              <w:rPr>
                <w:sz w:val="24"/>
                <w:color w:val="000000"/>
              </w:rPr>
              <w:t>项目合作期内如因政策或行业标准调整带来的工艺调整或改造方案引起的升级改造费用，按照届时的定额预算由中标单位上报，费用由双方另行协商解决。</w:t>
            </w:r>
          </w:p>
        </w:tc>
      </w:tr>
      <w:tr>
        <w:tc>
          <w:tcPr>
            <w:tcW w:type="dxa" w:w="2076"/>
          </w:tcPr>
          <w:p/>
        </w:tc>
        <w:tc>
          <w:tcPr>
            <w:tcW w:type="dxa" w:w="415"/>
          </w:tcPr>
          <w:p>
            <w:pPr>
              <w:pStyle w:val="null3"/>
            </w:pPr>
            <w:r>
              <w:rPr/>
              <w:t>14</w:t>
            </w:r>
          </w:p>
        </w:tc>
        <w:tc>
          <w:tcPr>
            <w:tcW w:type="dxa" w:w="5814"/>
          </w:tcPr>
          <w:p>
            <w:pPr>
              <w:pStyle w:val="null3"/>
              <w:ind w:firstLine="482"/>
              <w:jc w:val="both"/>
            </w:pPr>
            <w:r>
              <w:rPr>
                <w:sz w:val="24"/>
                <w:b/>
                <w:color w:val="000000"/>
              </w:rPr>
              <w:t>14、其他约定事项</w:t>
            </w:r>
          </w:p>
          <w:p>
            <w:pPr>
              <w:pStyle w:val="null3"/>
              <w:ind w:firstLine="480"/>
              <w:jc w:val="both"/>
            </w:pPr>
            <w:r>
              <w:rPr>
                <w:sz w:val="24"/>
                <w:color w:val="000000"/>
              </w:rPr>
              <w:t>1.采购人不提供中标单位人员的食宿。</w:t>
            </w:r>
          </w:p>
          <w:p>
            <w:pPr>
              <w:pStyle w:val="null3"/>
              <w:ind w:firstLine="480"/>
              <w:jc w:val="both"/>
            </w:pPr>
            <w:r>
              <w:rPr>
                <w:sz w:val="24"/>
                <w:color w:val="000000"/>
              </w:rPr>
              <w:t>2.中标单位在管理服务期内造成人员伤（病）亡和财产损失的，由中标单位负责赔偿。</w:t>
            </w:r>
          </w:p>
          <w:p>
            <w:pPr>
              <w:pStyle w:val="null3"/>
              <w:ind w:firstLine="480"/>
              <w:jc w:val="both"/>
            </w:pPr>
            <w:r>
              <w:rPr>
                <w:sz w:val="24"/>
                <w:color w:val="000000"/>
              </w:rPr>
              <w:t>3.中标单位在承包期内工作人员发生各种事故：包括治安、交通、防火和违反计划生育、劳资纠纷等事件，所造成一切后果及损失，由中标单位承担责任和负责赔偿。</w:t>
            </w:r>
          </w:p>
          <w:p>
            <w:pPr>
              <w:pStyle w:val="null3"/>
              <w:ind w:firstLine="480"/>
              <w:jc w:val="both"/>
            </w:pPr>
            <w:r>
              <w:rPr>
                <w:sz w:val="24"/>
                <w:color w:val="000000"/>
              </w:rPr>
              <w:t>4.服务的组织机构必须完整，组织机构总人数必须足以满足采购人需求。</w:t>
            </w:r>
          </w:p>
          <w:p>
            <w:pPr>
              <w:pStyle w:val="null3"/>
              <w:ind w:firstLine="480"/>
              <w:jc w:val="both"/>
            </w:pPr>
            <w:r>
              <w:rPr>
                <w:sz w:val="24"/>
                <w:color w:val="000000"/>
              </w:rPr>
              <w:t>5.中标单位全部人员，须符合相关法律法规规定的用工标准要求。</w:t>
            </w:r>
          </w:p>
          <w:p>
            <w:pPr>
              <w:pStyle w:val="null3"/>
              <w:ind w:firstLine="480"/>
              <w:jc w:val="both"/>
            </w:pPr>
            <w:r>
              <w:rPr>
                <w:sz w:val="24"/>
                <w:color w:val="000000"/>
              </w:rPr>
              <w:t>6.中标单位工作人员必须遵守采购人有关规章制度和管理规定，如有违反或损害采购人利益的，采购人有权拒绝违规工作人员在本项目中的工作权利。</w:t>
            </w:r>
          </w:p>
          <w:p>
            <w:pPr>
              <w:pStyle w:val="null3"/>
              <w:ind w:firstLine="480"/>
              <w:jc w:val="both"/>
            </w:pPr>
            <w:r>
              <w:rPr>
                <w:sz w:val="24"/>
                <w:color w:val="000000"/>
              </w:rPr>
              <w:t>7.中标单位按国家财务政策规定依法设立财务账本，劳动工资统计台账，依法纳税，为工人购买社保、公积金，每月报送财务报表，并接受财务检查、审计，按采购人的要求完成有关数据报送工作；每月向相关主管部门报送项目工人工资发放表和为工人购买社保、住房公积金等的有效报表。</w:t>
            </w:r>
          </w:p>
          <w:p>
            <w:pPr>
              <w:pStyle w:val="null3"/>
              <w:ind w:firstLine="480"/>
              <w:jc w:val="both"/>
            </w:pPr>
            <w:r>
              <w:rPr>
                <w:sz w:val="24"/>
                <w:color w:val="000000"/>
              </w:rPr>
              <w:t>8.如因中标单位引起的劳资纠纷问题，影响正常工作的，采购人有权另行聘请员工确保正常工作，所产生的费用在服务费中相应扣减。</w:t>
            </w:r>
          </w:p>
          <w:p>
            <w:pPr>
              <w:pStyle w:val="null3"/>
              <w:jc w:val="left"/>
            </w:pPr>
            <w:r>
              <w:rPr>
                <w:sz w:val="24"/>
                <w:color w:val="000000"/>
              </w:rPr>
              <w:t>9. 采购人发包的污水治理设施或考核标准出现变化的，按最新的合同约定处理。</w:t>
            </w:r>
          </w:p>
        </w:tc>
      </w:tr>
      <w:tr>
        <w:tc>
          <w:tcPr>
            <w:tcW w:type="dxa" w:w="2076"/>
          </w:tcPr>
          <w:p/>
        </w:tc>
        <w:tc>
          <w:tcPr>
            <w:tcW w:type="dxa" w:w="415"/>
          </w:tcPr>
          <w:p>
            <w:pPr>
              <w:pStyle w:val="null3"/>
            </w:pPr>
            <w:r>
              <w:rPr/>
              <w:t>15</w:t>
            </w:r>
          </w:p>
        </w:tc>
        <w:tc>
          <w:tcPr>
            <w:tcW w:type="dxa" w:w="5814"/>
          </w:tcPr>
          <w:p>
            <w:pPr>
              <w:pStyle w:val="null3"/>
              <w:ind w:firstLine="482"/>
              <w:jc w:val="both"/>
            </w:pPr>
            <w:r>
              <w:rPr>
                <w:sz w:val="24"/>
                <w:b/>
                <w:color w:val="000000"/>
              </w:rPr>
              <w:t>15、争议的解决</w:t>
            </w:r>
          </w:p>
          <w:p>
            <w:pPr>
              <w:pStyle w:val="null3"/>
              <w:jc w:val="left"/>
            </w:pPr>
            <w:r>
              <w:rPr>
                <w:sz w:val="24"/>
                <w:color w:val="000000"/>
              </w:rPr>
              <w:t>合同执行过程中发生的任何争议，如双方不能通过友好协商解决，按相关法律法规处理。</w:t>
            </w:r>
          </w:p>
        </w:tc>
      </w:tr>
      <w:tr>
        <w:tc>
          <w:tcPr>
            <w:tcW w:type="dxa" w:w="2076"/>
          </w:tcPr>
          <w:p/>
        </w:tc>
        <w:tc>
          <w:tcPr>
            <w:tcW w:type="dxa" w:w="415"/>
          </w:tcPr>
          <w:p>
            <w:pPr>
              <w:pStyle w:val="null3"/>
            </w:pPr>
            <w:r>
              <w:rPr/>
              <w:t>16</w:t>
            </w:r>
          </w:p>
        </w:tc>
        <w:tc>
          <w:tcPr>
            <w:tcW w:type="dxa" w:w="5814"/>
          </w:tcPr>
          <w:p>
            <w:pPr>
              <w:pStyle w:val="null3"/>
              <w:ind w:firstLine="482"/>
              <w:jc w:val="both"/>
            </w:pPr>
            <w:r>
              <w:rPr>
                <w:sz w:val="24"/>
                <w:b/>
                <w:color w:val="000000"/>
              </w:rPr>
              <w:t>16、不可抗力</w:t>
            </w:r>
          </w:p>
          <w:p>
            <w:pPr>
              <w:pStyle w:val="null3"/>
              <w:jc w:val="left"/>
            </w:pPr>
            <w:r>
              <w:rPr>
                <w:sz w:val="24"/>
                <w:color w:val="000000"/>
              </w:rPr>
              <w:t>任何一方由于不可抗力原因不能履行合同时，应在不可抗力事件结束日内向对方通报，以减轻可能给对方造成的损失，在取得有关机构的不可抗力证明或双方谅解确认后，允许延期履行或修订合同，并根据情况可部分或全部免于承担违约责任。</w:t>
            </w:r>
          </w:p>
        </w:tc>
      </w:tr>
      <w:tr>
        <w:tc>
          <w:tcPr>
            <w:tcW w:type="dxa" w:w="2076"/>
          </w:tcPr>
          <w:p/>
        </w:tc>
        <w:tc>
          <w:tcPr>
            <w:tcW w:type="dxa" w:w="415"/>
          </w:tcPr>
          <w:p>
            <w:pPr>
              <w:pStyle w:val="null3"/>
            </w:pPr>
            <w:r>
              <w:rPr/>
              <w:t>17</w:t>
            </w:r>
          </w:p>
        </w:tc>
        <w:tc>
          <w:tcPr>
            <w:tcW w:type="dxa" w:w="5814"/>
          </w:tcPr>
          <w:p>
            <w:pPr>
              <w:pStyle w:val="null3"/>
              <w:ind w:firstLine="482"/>
              <w:jc w:val="both"/>
            </w:pPr>
            <w:r>
              <w:rPr>
                <w:sz w:val="24"/>
                <w:b/>
                <w:color w:val="000000"/>
              </w:rPr>
              <w:t>17</w:t>
            </w:r>
            <w:r>
              <w:rPr>
                <w:sz w:val="24"/>
                <w:b/>
                <w:color w:val="000000"/>
              </w:rPr>
              <w:t>、项目移交</w:t>
            </w:r>
            <w:r>
              <w:rPr>
                <w:sz w:val="24"/>
                <w:b/>
                <w:color w:val="000000"/>
              </w:rPr>
              <w:t>（中标人服务期满移交工作）</w:t>
            </w:r>
          </w:p>
          <w:p>
            <w:pPr>
              <w:pStyle w:val="null3"/>
              <w:ind w:firstLine="480"/>
              <w:jc w:val="both"/>
            </w:pPr>
            <w:r>
              <w:rPr>
                <w:sz w:val="24"/>
                <w:color w:val="000000"/>
              </w:rPr>
              <w:t>17</w:t>
            </w:r>
            <w:r>
              <w:rPr>
                <w:sz w:val="24"/>
                <w:color w:val="000000"/>
              </w:rPr>
              <w:t>.1 移交前准备</w:t>
            </w:r>
          </w:p>
          <w:p>
            <w:pPr>
              <w:pStyle w:val="null3"/>
              <w:ind w:firstLine="480"/>
              <w:jc w:val="both"/>
            </w:pPr>
            <w:r>
              <w:rPr>
                <w:sz w:val="24"/>
                <w:color w:val="000000"/>
              </w:rPr>
              <w:t>在委托运维项目期满前</w:t>
            </w:r>
            <w:r>
              <w:rPr>
                <w:sz w:val="24"/>
                <w:color w:val="000000"/>
              </w:rPr>
              <w:t>1</w:t>
            </w:r>
            <w:r>
              <w:rPr>
                <w:sz w:val="24"/>
                <w:color w:val="000000"/>
              </w:rPr>
              <w:t>个月，采购人、属地人民政府和相关部门及中标人</w:t>
            </w:r>
            <w:r>
              <w:rPr>
                <w:sz w:val="24"/>
                <w:color w:val="000000"/>
              </w:rPr>
              <w:t>成立四方项目移交小组，负责商定移交的程序步骤与内容给新的运维单位</w:t>
            </w:r>
            <w:r>
              <w:rPr>
                <w:sz w:val="24"/>
                <w:color w:val="000000"/>
              </w:rPr>
              <w:t>，处理移交过程中的各项事宜。</w:t>
            </w:r>
          </w:p>
          <w:p>
            <w:pPr>
              <w:pStyle w:val="null3"/>
              <w:ind w:firstLine="480"/>
              <w:jc w:val="both"/>
            </w:pPr>
            <w:r>
              <w:rPr>
                <w:sz w:val="24"/>
                <w:color w:val="000000"/>
              </w:rPr>
              <w:t>17</w:t>
            </w:r>
            <w:r>
              <w:rPr>
                <w:sz w:val="24"/>
                <w:color w:val="000000"/>
              </w:rPr>
              <w:t>.2移交范围</w:t>
            </w:r>
          </w:p>
          <w:p>
            <w:pPr>
              <w:pStyle w:val="null3"/>
              <w:ind w:firstLine="480"/>
              <w:jc w:val="both"/>
            </w:pPr>
            <w:r>
              <w:rPr>
                <w:sz w:val="24"/>
                <w:color w:val="000000"/>
              </w:rPr>
              <w:t>①军埠污水处理厂、下架山水质净化厂的所有设施（土地、建构筑物、设备、工具等）的使用权。</w:t>
            </w:r>
          </w:p>
          <w:p>
            <w:pPr>
              <w:pStyle w:val="null3"/>
              <w:ind w:firstLine="480"/>
              <w:jc w:val="both"/>
            </w:pPr>
            <w:r>
              <w:rPr>
                <w:sz w:val="24"/>
                <w:color w:val="000000"/>
              </w:rPr>
              <w:t>②运维和维护项目所要求的知识产权等无形资产。</w:t>
            </w:r>
          </w:p>
          <w:p>
            <w:pPr>
              <w:pStyle w:val="null3"/>
              <w:ind w:firstLine="480"/>
              <w:jc w:val="both"/>
            </w:pPr>
            <w:r>
              <w:rPr>
                <w:sz w:val="24"/>
                <w:color w:val="000000"/>
              </w:rPr>
              <w:t>③在用的各类管理章程、行政资料、生产</w:t>
            </w:r>
            <w:r>
              <w:rPr>
                <w:sz w:val="24"/>
                <w:color w:val="000000"/>
              </w:rPr>
              <w:t>运行</w:t>
            </w:r>
            <w:r>
              <w:rPr>
                <w:sz w:val="24"/>
                <w:color w:val="000000"/>
              </w:rPr>
              <w:t>记录，使项目能平稳地正常地继续运维。</w:t>
            </w:r>
          </w:p>
          <w:p>
            <w:pPr>
              <w:pStyle w:val="null3"/>
              <w:jc w:val="left"/>
            </w:pPr>
            <w:r>
              <w:rPr>
                <w:sz w:val="24"/>
                <w:color w:val="000000"/>
              </w:rPr>
              <w:t>④运维项目设施所需消耗品及备品备件的购买厂商名单。</w:t>
            </w:r>
          </w:p>
        </w:tc>
      </w:tr>
      <w:tr>
        <w:tc>
          <w:tcPr>
            <w:tcW w:type="dxa" w:w="2076"/>
          </w:tcPr>
          <w:p/>
        </w:tc>
        <w:tc>
          <w:tcPr>
            <w:tcW w:type="dxa" w:w="415"/>
          </w:tcPr>
          <w:p>
            <w:pPr>
              <w:pStyle w:val="null3"/>
            </w:pPr>
            <w:r>
              <w:rPr/>
              <w:t>18</w:t>
            </w:r>
          </w:p>
        </w:tc>
        <w:tc>
          <w:tcPr>
            <w:tcW w:type="dxa" w:w="5814"/>
          </w:tcPr>
          <w:p>
            <w:pPr>
              <w:pStyle w:val="null3"/>
              <w:ind w:firstLine="482"/>
              <w:jc w:val="both"/>
            </w:pPr>
            <w:r>
              <w:rPr>
                <w:sz w:val="24"/>
                <w:b/>
                <w:color w:val="000000"/>
              </w:rPr>
              <w:t>18、项目产出要求</w:t>
            </w:r>
          </w:p>
          <w:p>
            <w:pPr>
              <w:pStyle w:val="null3"/>
              <w:ind w:firstLine="480"/>
              <w:jc w:val="both"/>
            </w:pPr>
            <w:r>
              <w:rPr>
                <w:sz w:val="24"/>
                <w:color w:val="000000"/>
              </w:rPr>
              <w:t>出水水质按设备的设计标准分别达到：</w:t>
            </w:r>
          </w:p>
          <w:p>
            <w:pPr>
              <w:pStyle w:val="null3"/>
              <w:ind w:firstLine="480"/>
              <w:jc w:val="both"/>
            </w:pPr>
            <w:r>
              <w:rPr>
                <w:sz w:val="24"/>
                <w:color w:val="000000"/>
              </w:rPr>
              <w:t>下架山水质净化厂的出水水质执行《地表水环境质量标准》（</w:t>
            </w:r>
            <w:r>
              <w:rPr>
                <w:sz w:val="24"/>
                <w:color w:val="000000"/>
              </w:rPr>
              <w:t>GB3838-2002）V类标准（其中TN≤15mg/L）和《城镇污水处理厂污染物排放标准》（GB18918-2002）一级A标准两者中的较严限值，同时满足该项目排污许可证的要求。</w:t>
            </w:r>
          </w:p>
          <w:p>
            <w:pPr>
              <w:pStyle w:val="null3"/>
              <w:ind w:firstLine="480"/>
              <w:jc w:val="both"/>
            </w:pPr>
            <w:r>
              <w:rPr>
                <w:sz w:val="24"/>
                <w:color w:val="000000"/>
              </w:rPr>
              <w:t>进出水水质具体指标如下表所示：</w:t>
            </w:r>
          </w:p>
          <w:tbl>
            <w:tblPr>
              <w:tblInd w:type="dxa" w:w="120"/>
              <w:tblBorders>
                <w:top w:val="none" w:color="000000" w:sz="4"/>
                <w:left w:val="none" w:color="000000" w:sz="4"/>
                <w:bottom w:val="none" w:color="000000" w:sz="4"/>
                <w:right w:val="none" w:color="000000" w:sz="4"/>
                <w:insideH w:val="none"/>
                <w:insideV w:val="none"/>
              </w:tblBorders>
            </w:tblPr>
            <w:tblGrid>
              <w:gridCol w:w="893"/>
              <w:gridCol w:w="532"/>
              <w:gridCol w:w="532"/>
              <w:gridCol w:w="532"/>
              <w:gridCol w:w="532"/>
              <w:gridCol w:w="532"/>
              <w:gridCol w:w="532"/>
              <w:gridCol w:w="532"/>
              <w:gridCol w:w="931"/>
            </w:tblGrid>
            <w:tr>
              <w:tc>
                <w:tcPr>
                  <w:tcW w:type="dxa" w:w="8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项目</w:t>
                  </w:r>
                </w:p>
              </w:tc>
              <w:tc>
                <w:tcPr>
                  <w:tcW w:type="dxa" w:w="5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BOD</w:t>
                  </w:r>
                  <w:r>
                    <w:rPr>
                      <w:sz w:val="24"/>
                      <w:color w:val="000000"/>
                      <w:vertAlign w:val="subscript"/>
                    </w:rPr>
                    <w:t>5</w:t>
                  </w:r>
                </w:p>
              </w:tc>
              <w:tc>
                <w:tcPr>
                  <w:tcW w:type="dxa" w:w="5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CODcr</w:t>
                  </w:r>
                </w:p>
              </w:tc>
              <w:tc>
                <w:tcPr>
                  <w:tcW w:type="dxa" w:w="5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SS</w:t>
                  </w:r>
                </w:p>
              </w:tc>
              <w:tc>
                <w:tcPr>
                  <w:tcW w:type="dxa" w:w="5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NH</w:t>
                  </w:r>
                  <w:r>
                    <w:rPr>
                      <w:sz w:val="24"/>
                      <w:color w:val="000000"/>
                      <w:vertAlign w:val="subscript"/>
                    </w:rPr>
                    <w:t>3</w:t>
                  </w:r>
                  <w:r>
                    <w:rPr>
                      <w:sz w:val="24"/>
                      <w:color w:val="000000"/>
                    </w:rPr>
                    <w:t>-N</w:t>
                  </w:r>
                </w:p>
              </w:tc>
              <w:tc>
                <w:tcPr>
                  <w:tcW w:type="dxa" w:w="5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TN</w:t>
                  </w:r>
                </w:p>
              </w:tc>
              <w:tc>
                <w:tcPr>
                  <w:tcW w:type="dxa" w:w="5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TP</w:t>
                  </w:r>
                </w:p>
              </w:tc>
              <w:tc>
                <w:tcPr>
                  <w:tcW w:type="dxa" w:w="5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pH（无量纲）</w:t>
                  </w:r>
                </w:p>
              </w:tc>
              <w:tc>
                <w:tcPr>
                  <w:tcW w:type="dxa" w:w="9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粪大肠菌群</w:t>
                  </w:r>
                </w:p>
                <w:p>
                  <w:pPr>
                    <w:pStyle w:val="null3"/>
                    <w:jc w:val="center"/>
                  </w:pPr>
                  <w:r>
                    <w:rPr>
                      <w:sz w:val="24"/>
                      <w:color w:val="000000"/>
                    </w:rPr>
                    <w:t>（个/L）</w:t>
                  </w:r>
                </w:p>
              </w:tc>
            </w:tr>
            <w:tr>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进水水质（mg/L）</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≤120</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≤230</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≤150</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6-9</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p>
              </w:tc>
            </w:tr>
            <w:tr>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出水水质（mg/L）</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≤0.4</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6-9</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≤1000</w:t>
                  </w:r>
                </w:p>
              </w:tc>
            </w:tr>
          </w:tbl>
          <w:p>
            <w:pPr>
              <w:pStyle w:val="null3"/>
              <w:ind w:firstLine="480"/>
              <w:jc w:val="both"/>
            </w:pPr>
            <w:r>
              <w:rPr>
                <w:sz w:val="24"/>
                <w:color w:val="000000"/>
              </w:rPr>
              <w:t>军埠污水处理厂的出水水质执行《地表水环境质量标准》（</w:t>
            </w:r>
            <w:r>
              <w:rPr>
                <w:sz w:val="24"/>
                <w:color w:val="000000"/>
              </w:rPr>
              <w:t>GB3838-2002）V类标准（其中TN≤15mg/L）和《城镇污水处理厂污染物排放标准》（GB18918-2002）一级A标准两者中的较严限值，同时满足该项目排污许可证的要求。</w:t>
            </w:r>
          </w:p>
          <w:p>
            <w:pPr>
              <w:pStyle w:val="null3"/>
              <w:ind w:firstLine="480"/>
              <w:jc w:val="both"/>
            </w:pPr>
            <w:r>
              <w:rPr>
                <w:sz w:val="24"/>
                <w:color w:val="000000"/>
              </w:rPr>
              <w:t>进出水水质具体指标如下表所示：</w:t>
            </w:r>
          </w:p>
          <w:tbl>
            <w:tblPr>
              <w:tblInd w:type="dxa" w:w="120"/>
              <w:tblBorders>
                <w:top w:val="none" w:color="000000" w:sz="4"/>
                <w:left w:val="none" w:color="000000" w:sz="4"/>
                <w:bottom w:val="none" w:color="000000" w:sz="4"/>
                <w:right w:val="none" w:color="000000" w:sz="4"/>
                <w:insideH w:val="none"/>
                <w:insideV w:val="none"/>
              </w:tblBorders>
            </w:tblPr>
            <w:tblGrid>
              <w:gridCol w:w="893"/>
              <w:gridCol w:w="532"/>
              <w:gridCol w:w="532"/>
              <w:gridCol w:w="532"/>
              <w:gridCol w:w="532"/>
              <w:gridCol w:w="532"/>
              <w:gridCol w:w="532"/>
              <w:gridCol w:w="532"/>
              <w:gridCol w:w="931"/>
            </w:tblGrid>
            <w:tr>
              <w:tc>
                <w:tcPr>
                  <w:tcW w:type="dxa" w:w="8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项目</w:t>
                  </w:r>
                </w:p>
              </w:tc>
              <w:tc>
                <w:tcPr>
                  <w:tcW w:type="dxa" w:w="5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BOD</w:t>
                  </w:r>
                  <w:r>
                    <w:rPr>
                      <w:sz w:val="24"/>
                      <w:color w:val="000000"/>
                      <w:vertAlign w:val="subscript"/>
                    </w:rPr>
                    <w:t>5</w:t>
                  </w:r>
                </w:p>
              </w:tc>
              <w:tc>
                <w:tcPr>
                  <w:tcW w:type="dxa" w:w="5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CODcr</w:t>
                  </w:r>
                </w:p>
              </w:tc>
              <w:tc>
                <w:tcPr>
                  <w:tcW w:type="dxa" w:w="5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SS</w:t>
                  </w:r>
                </w:p>
              </w:tc>
              <w:tc>
                <w:tcPr>
                  <w:tcW w:type="dxa" w:w="5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NH</w:t>
                  </w:r>
                  <w:r>
                    <w:rPr>
                      <w:sz w:val="24"/>
                      <w:color w:val="000000"/>
                      <w:vertAlign w:val="subscript"/>
                    </w:rPr>
                    <w:t>3</w:t>
                  </w:r>
                  <w:r>
                    <w:rPr>
                      <w:sz w:val="24"/>
                      <w:color w:val="000000"/>
                    </w:rPr>
                    <w:t>-N</w:t>
                  </w:r>
                </w:p>
              </w:tc>
              <w:tc>
                <w:tcPr>
                  <w:tcW w:type="dxa" w:w="5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TN</w:t>
                  </w:r>
                </w:p>
              </w:tc>
              <w:tc>
                <w:tcPr>
                  <w:tcW w:type="dxa" w:w="5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TP</w:t>
                  </w:r>
                </w:p>
              </w:tc>
              <w:tc>
                <w:tcPr>
                  <w:tcW w:type="dxa" w:w="5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pH（无量纲）</w:t>
                  </w:r>
                </w:p>
              </w:tc>
              <w:tc>
                <w:tcPr>
                  <w:tcW w:type="dxa" w:w="9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粪大肠菌群</w:t>
                  </w:r>
                </w:p>
                <w:p>
                  <w:pPr>
                    <w:pStyle w:val="null3"/>
                    <w:jc w:val="center"/>
                  </w:pPr>
                  <w:r>
                    <w:rPr>
                      <w:sz w:val="24"/>
                      <w:color w:val="000000"/>
                    </w:rPr>
                    <w:t>（个/L）</w:t>
                  </w:r>
                </w:p>
              </w:tc>
            </w:tr>
            <w:tr>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进水水质（mg/L）</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≤110</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≤250</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≤200</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6-9</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p>
              </w:tc>
            </w:tr>
            <w:tr>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出水水质（mg/L）</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≤40</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≤0.4</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6-9</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≤1000</w:t>
                  </w:r>
                </w:p>
              </w:tc>
            </w:tr>
          </w:tbl>
          <w:p/>
        </w:tc>
      </w:tr>
      <w:tr>
        <w:tc>
          <w:tcPr>
            <w:tcW w:type="dxa" w:w="2076"/>
          </w:tcPr>
          <w:p/>
        </w:tc>
        <w:tc>
          <w:tcPr>
            <w:tcW w:type="dxa" w:w="415"/>
          </w:tcPr>
          <w:p>
            <w:pPr>
              <w:pStyle w:val="null3"/>
            </w:pPr>
            <w:r>
              <w:rPr/>
              <w:t>19</w:t>
            </w:r>
          </w:p>
        </w:tc>
        <w:tc>
          <w:tcPr>
            <w:tcW w:type="dxa" w:w="5814"/>
          </w:tcPr>
          <w:p>
            <w:pPr>
              <w:pStyle w:val="null3"/>
              <w:ind w:firstLine="482"/>
              <w:jc w:val="both"/>
            </w:pPr>
            <w:r>
              <w:rPr>
                <w:sz w:val="24"/>
                <w:b/>
                <w:color w:val="000000"/>
              </w:rPr>
              <w:t>19、安全要求：</w:t>
            </w:r>
          </w:p>
          <w:p>
            <w:pPr>
              <w:pStyle w:val="null3"/>
              <w:ind w:firstLine="480"/>
              <w:jc w:val="both"/>
            </w:pPr>
            <w:r>
              <w:rPr>
                <w:sz w:val="24"/>
                <w:color w:val="000000"/>
              </w:rPr>
              <w:t>安全为了生产，生产必须安全。中标</w:t>
            </w:r>
            <w:r>
              <w:rPr>
                <w:sz w:val="24"/>
                <w:color w:val="000000"/>
              </w:rPr>
              <w:t>单位主要负责人</w:t>
            </w:r>
            <w:r>
              <w:rPr>
                <w:sz w:val="24"/>
                <w:color w:val="000000"/>
              </w:rPr>
              <w:t>为安全生产第一责任人，</w:t>
            </w:r>
            <w:r>
              <w:rPr>
                <w:sz w:val="24"/>
                <w:color w:val="000000"/>
              </w:rPr>
              <w:t>应组织编制应急预案，</w:t>
            </w:r>
            <w:r>
              <w:rPr>
                <w:sz w:val="24"/>
                <w:color w:val="000000"/>
              </w:rPr>
              <w:t>制定安全管理制度，预防事故的发生，确保员工人身和财产的安全，一体化污水处理设施正常稳定的生产运行。</w:t>
            </w:r>
          </w:p>
          <w:p>
            <w:pPr>
              <w:pStyle w:val="null3"/>
              <w:ind w:firstLine="482"/>
              <w:jc w:val="both"/>
            </w:pPr>
            <w:r>
              <w:rPr>
                <w:sz w:val="24"/>
                <w:b/>
                <w:color w:val="000000"/>
              </w:rPr>
              <w:t>1、安全管理要求</w:t>
            </w:r>
          </w:p>
          <w:p>
            <w:pPr>
              <w:pStyle w:val="null3"/>
              <w:ind w:firstLine="480"/>
              <w:jc w:val="both"/>
            </w:pPr>
            <w:r>
              <w:rPr>
                <w:sz w:val="24"/>
                <w:color w:val="000000"/>
              </w:rPr>
              <w:t>a、中标</w:t>
            </w:r>
            <w:r>
              <w:rPr>
                <w:sz w:val="24"/>
                <w:color w:val="000000"/>
              </w:rPr>
              <w:t>单位主要负责人</w:t>
            </w:r>
            <w:r>
              <w:rPr>
                <w:sz w:val="24"/>
                <w:color w:val="000000"/>
              </w:rPr>
              <w:t>是设施</w:t>
            </w:r>
            <w:r>
              <w:rPr>
                <w:sz w:val="24"/>
                <w:color w:val="000000"/>
              </w:rPr>
              <w:t>运营</w:t>
            </w:r>
            <w:r>
              <w:rPr>
                <w:sz w:val="24"/>
                <w:color w:val="000000"/>
              </w:rPr>
              <w:t>安全的负责人，负责对员工进行法制和安全教育，</w:t>
            </w:r>
            <w:r>
              <w:rPr>
                <w:sz w:val="24"/>
                <w:color w:val="000000"/>
              </w:rPr>
              <w:t>使每个员工遵纪守法，杜绝违法乱纪和扰乱社会治安的情况发生。</w:t>
            </w:r>
          </w:p>
          <w:p>
            <w:pPr>
              <w:pStyle w:val="null3"/>
              <w:ind w:firstLine="480"/>
              <w:jc w:val="both"/>
            </w:pPr>
            <w:r>
              <w:rPr>
                <w:sz w:val="24"/>
                <w:color w:val="000000"/>
              </w:rPr>
              <w:t>b、中标</w:t>
            </w:r>
            <w:r>
              <w:rPr>
                <w:sz w:val="24"/>
                <w:color w:val="000000"/>
              </w:rPr>
              <w:t>单位主要负责人</w:t>
            </w:r>
            <w:r>
              <w:rPr>
                <w:sz w:val="24"/>
                <w:color w:val="000000"/>
              </w:rPr>
              <w:t>要加强安全防范，妥善管理文件和贵重物品，谨防盗窃和破坏活动，确保正常的生产秩序和财产安全。值班人员要经常检查锁具</w:t>
            </w:r>
            <w:r>
              <w:rPr>
                <w:sz w:val="24"/>
                <w:color w:val="000000"/>
              </w:rPr>
              <w:t>及周边安全环境</w:t>
            </w:r>
            <w:r>
              <w:rPr>
                <w:sz w:val="24"/>
                <w:color w:val="000000"/>
              </w:rPr>
              <w:t>，严防发生责任事故。</w:t>
            </w:r>
          </w:p>
          <w:p>
            <w:pPr>
              <w:pStyle w:val="null3"/>
              <w:ind w:firstLine="480"/>
              <w:jc w:val="both"/>
            </w:pPr>
            <w:r>
              <w:rPr>
                <w:sz w:val="24"/>
                <w:color w:val="000000"/>
              </w:rPr>
              <w:t>c、员工在工作场所必须遵守相应的规章制度和劳动纪律，维护良好的工作环境，严禁打架斗殴，损坏公共物品。</w:t>
            </w:r>
          </w:p>
          <w:p>
            <w:pPr>
              <w:pStyle w:val="null3"/>
              <w:ind w:firstLine="482"/>
              <w:jc w:val="both"/>
            </w:pPr>
            <w:r>
              <w:rPr>
                <w:sz w:val="24"/>
                <w:b/>
                <w:color w:val="000000"/>
              </w:rPr>
              <w:t>2、安全生产</w:t>
            </w:r>
          </w:p>
          <w:p>
            <w:pPr>
              <w:pStyle w:val="null3"/>
              <w:ind w:firstLine="480"/>
              <w:jc w:val="both"/>
            </w:pPr>
            <w:r>
              <w:rPr>
                <w:sz w:val="24"/>
                <w:color w:val="000000"/>
              </w:rPr>
              <w:t>a、员工在生产中必须执行有关生产管理规定和岗位工作要求，正确操作设备和佩戴、使用劳动保护用品，严禁违章操作。</w:t>
            </w:r>
          </w:p>
          <w:p>
            <w:pPr>
              <w:pStyle w:val="null3"/>
              <w:ind w:firstLine="480"/>
              <w:jc w:val="both"/>
            </w:pPr>
            <w:r>
              <w:rPr>
                <w:sz w:val="24"/>
                <w:color w:val="000000"/>
              </w:rPr>
              <w:t>b、对生产设备要定期检查，发现问题及时处理。严禁设备故障运行，以免加重故障或造成事故。</w:t>
            </w:r>
          </w:p>
          <w:p>
            <w:pPr>
              <w:pStyle w:val="null3"/>
              <w:ind w:firstLine="480"/>
              <w:jc w:val="both"/>
            </w:pPr>
            <w:r>
              <w:rPr>
                <w:sz w:val="24"/>
                <w:color w:val="000000"/>
              </w:rPr>
              <w:t>c 、在使用生产设备和有毒有害化学药品、易燃易爆品、高压气体等危险物品时，必须严格遵守安全生产规程，严防发生责任事故。</w:t>
            </w:r>
          </w:p>
          <w:p>
            <w:pPr>
              <w:pStyle w:val="null3"/>
              <w:ind w:firstLine="482"/>
              <w:jc w:val="both"/>
            </w:pPr>
            <w:r>
              <w:rPr>
                <w:sz w:val="24"/>
                <w:b/>
                <w:color w:val="000000"/>
              </w:rPr>
              <w:t>3</w:t>
            </w:r>
            <w:r>
              <w:rPr>
                <w:sz w:val="24"/>
                <w:b/>
                <w:color w:val="000000"/>
              </w:rPr>
              <w:t>、事故处理</w:t>
            </w:r>
          </w:p>
          <w:p>
            <w:pPr>
              <w:pStyle w:val="null3"/>
              <w:jc w:val="left"/>
            </w:pPr>
            <w:r>
              <w:rPr>
                <w:sz w:val="24"/>
                <w:color w:val="000000"/>
              </w:rPr>
              <w:t>在生产和工作中发生事故应立即逐级上报，迅速采取有效措施救治伤者，保全设备，保护事故现场等候处理。严禁隐瞒事故、拖延上报或破坏现场。对于重大责任事故，要追究事故责任人和主管领导等有关人员的责任。事故处理及善后工作执行国家等部门的有关规定。</w:t>
            </w:r>
          </w:p>
        </w:tc>
      </w:tr>
      <w:tr>
        <w:tc>
          <w:tcPr>
            <w:tcW w:type="dxa" w:w="2076"/>
          </w:tcPr>
          <w:p/>
        </w:tc>
        <w:tc>
          <w:tcPr>
            <w:tcW w:type="dxa" w:w="415"/>
          </w:tcPr>
          <w:p>
            <w:pPr>
              <w:pStyle w:val="null3"/>
            </w:pPr>
            <w:r>
              <w:rPr/>
              <w:t>20</w:t>
            </w:r>
          </w:p>
        </w:tc>
        <w:tc>
          <w:tcPr>
            <w:tcW w:type="dxa" w:w="5814"/>
          </w:tcPr>
          <w:p>
            <w:pPr>
              <w:pStyle w:val="null3"/>
              <w:ind w:firstLine="482"/>
              <w:jc w:val="both"/>
            </w:pPr>
            <w:r>
              <w:rPr>
                <w:sz w:val="24"/>
                <w:b/>
                <w:color w:val="000000"/>
              </w:rPr>
              <w:t>20</w:t>
            </w:r>
            <w:r>
              <w:rPr>
                <w:sz w:val="24"/>
                <w:b/>
                <w:color w:val="000000"/>
              </w:rPr>
              <w:t>、其他要求</w:t>
            </w:r>
          </w:p>
          <w:p>
            <w:pPr>
              <w:pStyle w:val="null3"/>
              <w:ind w:firstLine="480"/>
              <w:jc w:val="both"/>
            </w:pPr>
            <w:r>
              <w:rPr>
                <w:sz w:val="24"/>
                <w:color w:val="000000"/>
              </w:rPr>
              <w:t>（</w:t>
            </w:r>
            <w:r>
              <w:rPr>
                <w:sz w:val="24"/>
                <w:color w:val="000000"/>
              </w:rPr>
              <w:t>1）中标人必须按行政主管部门关于污泥处理处置的相关规定执行。运维期间，一旦发现污泥乱倾倒或偷排入下水管道或二次污染的情况，属地人民政府将扣除中标人该站点当月运维处理费，同时造成的其他经济损失由中标人负责；情节严重的，终止合同，中标人无条件退出。</w:t>
            </w:r>
          </w:p>
          <w:p>
            <w:pPr>
              <w:pStyle w:val="null3"/>
              <w:ind w:firstLine="480"/>
              <w:jc w:val="both"/>
            </w:pPr>
            <w:r>
              <w:rPr>
                <w:sz w:val="24"/>
                <w:color w:val="000000"/>
              </w:rPr>
              <w:t>（</w:t>
            </w:r>
            <w:r>
              <w:rPr>
                <w:sz w:val="24"/>
                <w:color w:val="000000"/>
              </w:rPr>
              <w:t>2）本项目用地、用水、用电、临时道路等</w:t>
            </w:r>
            <w:r>
              <w:rPr>
                <w:sz w:val="24"/>
                <w:color w:val="000000"/>
              </w:rPr>
              <w:t>配套设施</w:t>
            </w:r>
            <w:r>
              <w:rPr>
                <w:sz w:val="24"/>
                <w:color w:val="000000"/>
              </w:rPr>
              <w:t>由属地人民政府负责。</w:t>
            </w:r>
          </w:p>
          <w:p>
            <w:pPr>
              <w:pStyle w:val="null3"/>
              <w:ind w:firstLine="480"/>
              <w:jc w:val="both"/>
            </w:pPr>
            <w:r>
              <w:rPr>
                <w:sz w:val="24"/>
                <w:color w:val="000000"/>
              </w:rPr>
              <w:t>（</w:t>
            </w:r>
            <w:r>
              <w:rPr>
                <w:sz w:val="24"/>
                <w:color w:val="000000"/>
              </w:rPr>
              <w:t>3）中标商承诺：</w:t>
            </w:r>
          </w:p>
          <w:p>
            <w:pPr>
              <w:pStyle w:val="null3"/>
              <w:ind w:firstLine="480"/>
              <w:jc w:val="both"/>
            </w:pPr>
            <w:r>
              <w:rPr>
                <w:sz w:val="24"/>
                <w:color w:val="000000"/>
              </w:rPr>
              <w:t>1）中标商要接受并配合采购人的技术审查及相关巡视、检查；要保持同采购人的密切联系，遇有重大事项及时报告和反馈信息，尊重项目采购方的意见，接受项目采购方的提议、监督和指导；</w:t>
            </w:r>
          </w:p>
          <w:p>
            <w:pPr>
              <w:pStyle w:val="null3"/>
              <w:jc w:val="left"/>
            </w:pPr>
            <w:r>
              <w:rPr>
                <w:sz w:val="24"/>
                <w:color w:val="000000"/>
              </w:rPr>
              <w:t>2）按相关规范要求提交本项目成果。</w:t>
            </w:r>
          </w:p>
        </w:tc>
      </w:tr>
      <w:tr>
        <w:tc>
          <w:tcPr>
            <w:tcW w:type="dxa" w:w="2076"/>
          </w:tcPr>
          <w:p/>
        </w:tc>
        <w:tc>
          <w:tcPr>
            <w:tcW w:type="dxa" w:w="415"/>
          </w:tcPr>
          <w:p>
            <w:pPr>
              <w:pStyle w:val="null3"/>
            </w:pPr>
            <w:r>
              <w:rPr/>
              <w:t>21</w:t>
            </w:r>
          </w:p>
        </w:tc>
        <w:tc>
          <w:tcPr>
            <w:tcW w:type="dxa" w:w="5814"/>
          </w:tcPr>
          <w:p>
            <w:pPr>
              <w:pStyle w:val="null3"/>
              <w:ind w:firstLine="482"/>
              <w:jc w:val="both"/>
            </w:pPr>
            <w:r>
              <w:rPr>
                <w:sz w:val="24"/>
                <w:b/>
                <w:color w:val="000000"/>
              </w:rPr>
              <w:t>21、</w:t>
            </w:r>
            <w:r>
              <w:rPr>
                <w:sz w:val="24"/>
                <w:b/>
                <w:color w:val="000000"/>
              </w:rPr>
              <w:t>运行维护绩效考核差评处罚</w:t>
            </w:r>
          </w:p>
          <w:p>
            <w:pPr>
              <w:pStyle w:val="null3"/>
              <w:ind w:firstLine="480"/>
              <w:jc w:val="both"/>
            </w:pPr>
            <w:r>
              <w:rPr>
                <w:sz w:val="24"/>
                <w:color w:val="000000"/>
              </w:rPr>
              <w:t>一、运营维护期绩效考核</w:t>
            </w:r>
          </w:p>
          <w:p>
            <w:pPr>
              <w:pStyle w:val="null3"/>
              <w:ind w:firstLine="480"/>
              <w:jc w:val="both"/>
            </w:pPr>
            <w:r>
              <w:rPr>
                <w:sz w:val="24"/>
                <w:color w:val="000000"/>
              </w:rPr>
              <w:t>建立与项目产出绩效相挂钩的付费机制，运营维护期绩效考核结论是污水处理服务费的支付依据：</w:t>
            </w:r>
          </w:p>
          <w:p>
            <w:pPr>
              <w:pStyle w:val="null3"/>
              <w:ind w:firstLine="480"/>
              <w:jc w:val="both"/>
            </w:pPr>
            <w:r>
              <w:rPr>
                <w:sz w:val="24"/>
                <w:color w:val="000000"/>
              </w:rPr>
              <w:t>1）每季度的污水处理服务费=日污水量×污水处理单价×每季度运营天数；</w:t>
            </w:r>
          </w:p>
          <w:p>
            <w:pPr>
              <w:pStyle w:val="null3"/>
              <w:ind w:firstLine="480"/>
              <w:jc w:val="both"/>
            </w:pPr>
            <w:r>
              <w:rPr>
                <w:sz w:val="24"/>
                <w:color w:val="000000"/>
              </w:rPr>
              <w:t>2）项目实施机构应根据运营维护期绩效考核结论，按照</w:t>
            </w:r>
            <w:r>
              <w:rPr>
                <w:sz w:val="24"/>
                <w:color w:val="000000"/>
              </w:rPr>
              <w:t>运营项目</w:t>
            </w:r>
            <w:r>
              <w:rPr>
                <w:sz w:val="24"/>
                <w:color w:val="000000"/>
              </w:rPr>
              <w:t>合同的相关约定计算支付当期污水处理服务费的金额。</w:t>
            </w:r>
          </w:p>
          <w:p>
            <w:pPr>
              <w:pStyle w:val="null3"/>
              <w:ind w:firstLine="480"/>
              <w:jc w:val="both"/>
            </w:pPr>
            <w:r>
              <w:rPr>
                <w:sz w:val="24"/>
                <w:color w:val="000000"/>
              </w:rPr>
              <w:t>主要的运营维护期绩效考核指标及要求如下：</w:t>
            </w:r>
          </w:p>
          <w:tbl>
            <w:tblPr>
              <w:tblInd w:type="dxa" w:w="120"/>
              <w:tblBorders>
                <w:top w:val="none" w:color="000000" w:sz="4"/>
                <w:left w:val="none" w:color="000000" w:sz="4"/>
                <w:bottom w:val="none" w:color="000000" w:sz="4"/>
                <w:right w:val="none" w:color="000000" w:sz="4"/>
                <w:insideH w:val="none"/>
                <w:insideV w:val="none"/>
              </w:tblBorders>
            </w:tblPr>
            <w:tblGrid>
              <w:gridCol w:w="1222"/>
              <w:gridCol w:w="4365"/>
            </w:tblGrid>
            <w:tr>
              <w:tc>
                <w:tcPr>
                  <w:tcW w:type="dxa" w:w="1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指标类别</w:t>
                  </w:r>
                </w:p>
              </w:tc>
              <w:tc>
                <w:tcPr>
                  <w:tcW w:type="dxa" w:w="4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指标要求</w:t>
                  </w:r>
                </w:p>
              </w:tc>
            </w:tr>
            <w:tr>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设备维护</w:t>
                  </w:r>
                </w:p>
              </w:tc>
              <w:tc>
                <w:tcPr>
                  <w:tcW w:type="dxa" w:w="4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污水处理设施:设备运转正常,符合国家和行业相关标准要求</w:t>
                  </w:r>
                </w:p>
              </w:tc>
            </w:tr>
            <w:tr>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其他</w:t>
                  </w:r>
                </w:p>
              </w:tc>
              <w:tc>
                <w:tcPr>
                  <w:tcW w:type="dxa" w:w="4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参照国家和行业相关标准</w:t>
                  </w:r>
                </w:p>
              </w:tc>
            </w:tr>
            <w:tr>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考核周期</w:t>
                  </w:r>
                </w:p>
              </w:tc>
              <w:tc>
                <w:tcPr>
                  <w:tcW w:type="dxa" w:w="4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运营期每个季度考核一次</w:t>
                  </w:r>
                </w:p>
              </w:tc>
            </w:tr>
            <w:tr>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考核主体</w:t>
                  </w:r>
                </w:p>
              </w:tc>
              <w:tc>
                <w:tcPr>
                  <w:tcW w:type="dxa" w:w="4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采购人委托第三方评估考核机构,或揭阳市生态环境局普宁分局或其指定机构</w:t>
                  </w:r>
                </w:p>
              </w:tc>
            </w:tr>
            <w:tr>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考核结果与项目付费挂钩方式</w:t>
                  </w:r>
                </w:p>
              </w:tc>
              <w:tc>
                <w:tcPr>
                  <w:tcW w:type="dxa" w:w="4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污水处理服务费按照绩效考核结果确定的权重付费</w:t>
                  </w:r>
                </w:p>
              </w:tc>
            </w:tr>
          </w:tbl>
          <w:p/>
        </w:tc>
      </w:tr>
      <w:tr>
        <w:tc>
          <w:tcPr>
            <w:tcW w:type="dxa" w:w="2076"/>
          </w:tcPr>
          <w:p/>
        </w:tc>
        <w:tc>
          <w:tcPr>
            <w:tcW w:type="dxa" w:w="415"/>
          </w:tcPr>
          <w:p>
            <w:pPr>
              <w:pStyle w:val="null3"/>
            </w:pPr>
            <w:r>
              <w:rPr/>
              <w:t>22</w:t>
            </w:r>
          </w:p>
        </w:tc>
        <w:tc>
          <w:tcPr>
            <w:tcW w:type="dxa" w:w="5814"/>
          </w:tcPr>
          <w:p>
            <w:pPr>
              <w:pStyle w:val="null3"/>
              <w:jc w:val="center"/>
            </w:pPr>
            <w:r>
              <w:rPr>
                <w:sz w:val="24"/>
                <w:b/>
                <w:color w:val="000000"/>
              </w:rPr>
              <w:t>运行绩效评价标准</w:t>
            </w:r>
          </w:p>
          <w:tbl>
            <w:tblPr>
              <w:tblBorders>
                <w:top w:val="none" w:color="000000" w:sz="4"/>
                <w:left w:val="none" w:color="000000" w:sz="4"/>
                <w:bottom w:val="none" w:color="000000" w:sz="4"/>
                <w:right w:val="none" w:color="000000" w:sz="4"/>
                <w:insideH w:val="none"/>
                <w:insideV w:val="none"/>
              </w:tblBorders>
            </w:tblPr>
            <w:tblGrid>
              <w:gridCol w:w="727"/>
              <w:gridCol w:w="718"/>
              <w:gridCol w:w="1907"/>
              <w:gridCol w:w="1907"/>
              <w:gridCol w:w="319"/>
            </w:tblGrid>
            <w:tr>
              <w:tc>
                <w:tcPr>
                  <w:tcW w:type="dxa" w:w="7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评价项目</w:t>
                  </w:r>
                </w:p>
              </w:tc>
              <w:tc>
                <w:tcPr>
                  <w:tcW w:type="dxa" w:w="7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检查项目</w:t>
                  </w:r>
                </w:p>
              </w:tc>
              <w:tc>
                <w:tcPr>
                  <w:tcW w:type="dxa" w:w="19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运行质量要求</w:t>
                  </w:r>
                </w:p>
              </w:tc>
              <w:tc>
                <w:tcPr>
                  <w:tcW w:type="dxa" w:w="19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评分标准</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分值</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有效运行时间</w:t>
                  </w:r>
                </w:p>
                <w:p>
                  <w:pPr>
                    <w:pStyle w:val="null3"/>
                    <w:jc w:val="left"/>
                  </w:pPr>
                  <w:r>
                    <w:rPr>
                      <w:sz w:val="24"/>
                      <w:color w:val="000000"/>
                    </w:rPr>
                    <w:t>(10分)</w:t>
                  </w:r>
                </w:p>
              </w:tc>
              <w:tc>
                <w:tcPr>
                  <w:tcW w:type="dxa" w:w="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运行天数及停产</w:t>
                  </w:r>
                </w:p>
              </w:tc>
              <w:tc>
                <w:tcPr>
                  <w:tcW w:type="dxa" w:w="1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污水处理设施运行天数符合主管部门要求并保持连续运行,因故停减产程序符合要求不扣分（外部因素，如停电停水、自然灾害除外；每月因设备故障停减产不超过三天，需报相关主管部门同意）。</w:t>
                  </w:r>
                </w:p>
              </w:tc>
              <w:tc>
                <w:tcPr>
                  <w:tcW w:type="dxa" w:w="1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停产天数每增加1天扣1分</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r>
            <w:tr>
              <w:tc>
                <w:tcPr>
                  <w:tcW w:type="dxa" w:w="7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处理质量</w:t>
                  </w:r>
                  <w:r>
                    <w:br/>
                  </w:r>
                  <w:r>
                    <w:rPr>
                      <w:sz w:val="24"/>
                      <w:color w:val="000000"/>
                    </w:rPr>
                    <w:t>(30分)</w:t>
                  </w:r>
                </w:p>
              </w:tc>
              <w:tc>
                <w:tcPr>
                  <w:tcW w:type="dxa" w:w="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污水处理质量</w:t>
                  </w:r>
                </w:p>
              </w:tc>
              <w:tc>
                <w:tcPr>
                  <w:tcW w:type="dxa" w:w="1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每日对进出水CODcr、BOD</w:t>
                  </w:r>
                  <w:r>
                    <w:rPr>
                      <w:sz w:val="24"/>
                      <w:color w:val="000000"/>
                      <w:vertAlign w:val="subscript"/>
                    </w:rPr>
                    <w:t>5</w:t>
                  </w:r>
                  <w:r>
                    <w:rPr>
                      <w:sz w:val="24"/>
                      <w:color w:val="000000"/>
                    </w:rPr>
                    <w:t>、SS、总磷、氨氮等进行化验，并编制化验报告作为备查资料。</w:t>
                  </w:r>
                </w:p>
              </w:tc>
              <w:tc>
                <w:tcPr>
                  <w:tcW w:type="dxa" w:w="1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化验报告显示某天有一项不达标或没做化验的视为当次不合格。</w:t>
                  </w:r>
                </w:p>
                <w:p>
                  <w:pPr>
                    <w:pStyle w:val="null3"/>
                    <w:jc w:val="left"/>
                  </w:pPr>
                  <w:r>
                    <w:rPr>
                      <w:sz w:val="24"/>
                      <w:color w:val="000000"/>
                    </w:rPr>
                    <w:t>化验报告显示当月有一项没做化验项目的，视为当次不合格。</w:t>
                  </w:r>
                </w:p>
                <w:p>
                  <w:pPr>
                    <w:pStyle w:val="null3"/>
                    <w:jc w:val="left"/>
                  </w:pPr>
                  <w:r>
                    <w:rPr>
                      <w:sz w:val="24"/>
                      <w:color w:val="000000"/>
                    </w:rPr>
                    <w:t>如果有环境部门或上级监管部门抽查判定为不合格的就视为全月不合格。</w:t>
                  </w:r>
                </w:p>
                <w:p>
                  <w:pPr>
                    <w:pStyle w:val="null3"/>
                    <w:jc w:val="left"/>
                  </w:pPr>
                  <w:r>
                    <w:rPr>
                      <w:sz w:val="24"/>
                      <w:color w:val="000000"/>
                    </w:rPr>
                    <w:t>注：得分=15分x合格率，其中(合格率=合格天数/计算天数)。</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w:t>
                  </w:r>
                </w:p>
              </w:tc>
            </w:tr>
            <w:tr>
              <w:tc>
                <w:tcPr>
                  <w:tcW w:type="dxa" w:w="727"/>
                  <w:vMerge/>
                  <w:tcBorders>
                    <w:top w:val="none" w:color="000000" w:sz="4"/>
                    <w:left w:val="single" w:color="000000" w:sz="4"/>
                    <w:bottom w:val="single" w:color="000000" w:sz="4"/>
                    <w:right w:val="single" w:color="000000" w:sz="4"/>
                  </w:tcBorders>
                </w:tcPr>
                <w:p/>
              </w:tc>
              <w:tc>
                <w:tcPr>
                  <w:tcW w:type="dxa" w:w="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污泥处理质量</w:t>
                  </w:r>
                </w:p>
              </w:tc>
              <w:tc>
                <w:tcPr>
                  <w:tcW w:type="dxa" w:w="1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污泥有妥善处理处置方案，污泥含水率≤60%,无乱堆乱放。</w:t>
                  </w:r>
                </w:p>
              </w:tc>
              <w:tc>
                <w:tcPr>
                  <w:tcW w:type="dxa" w:w="1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（1）污泥去向不明扣5分</w:t>
                  </w:r>
                </w:p>
                <w:p>
                  <w:pPr>
                    <w:pStyle w:val="null3"/>
                    <w:jc w:val="left"/>
                  </w:pPr>
                  <w:r>
                    <w:rPr>
                      <w:sz w:val="24"/>
                      <w:color w:val="000000"/>
                    </w:rPr>
                    <w:t>（2）污泥含水率＞60%扣5分</w:t>
                  </w:r>
                </w:p>
                <w:p>
                  <w:pPr>
                    <w:pStyle w:val="null3"/>
                    <w:jc w:val="left"/>
                  </w:pPr>
                  <w:r>
                    <w:rPr>
                      <w:sz w:val="24"/>
                      <w:color w:val="000000"/>
                    </w:rPr>
                    <w:t>（3）污泥乱堆乱放扣5分</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w:t>
                  </w:r>
                </w:p>
              </w:tc>
            </w:tr>
            <w:tr>
              <w:tc>
                <w:tcPr>
                  <w:tcW w:type="dxa" w:w="7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运营管理</w:t>
                  </w:r>
                  <w:r>
                    <w:br/>
                  </w:r>
                  <w:r>
                    <w:rPr>
                      <w:sz w:val="24"/>
                      <w:color w:val="000000"/>
                    </w:rPr>
                    <w:t>(25分)</w:t>
                  </w:r>
                </w:p>
              </w:tc>
              <w:tc>
                <w:tcPr>
                  <w:tcW w:type="dxa" w:w="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操作规范</w:t>
                  </w:r>
                </w:p>
              </w:tc>
              <w:tc>
                <w:tcPr>
                  <w:tcW w:type="dxa" w:w="1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操作规程齐，包括不限于管理制度、岗位操作规程及设施、设备维护手册,并定期修订。</w:t>
                  </w:r>
                </w:p>
              </w:tc>
              <w:tc>
                <w:tcPr>
                  <w:tcW w:type="dxa" w:w="1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缺少一项扣1分</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r>
            <w:tr>
              <w:tc>
                <w:tcPr>
                  <w:tcW w:type="dxa" w:w="727"/>
                  <w:vMerge/>
                  <w:tcBorders>
                    <w:top w:val="none" w:color="000000" w:sz="4"/>
                    <w:left w:val="single" w:color="000000" w:sz="4"/>
                    <w:bottom w:val="single" w:color="000000" w:sz="4"/>
                    <w:right w:val="single" w:color="000000" w:sz="4"/>
                  </w:tcBorders>
                </w:tcPr>
                <w:p/>
              </w:tc>
              <w:tc>
                <w:tcPr>
                  <w:tcW w:type="dxa" w:w="7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安全管理</w:t>
                  </w:r>
                </w:p>
              </w:tc>
              <w:tc>
                <w:tcPr>
                  <w:tcW w:type="dxa" w:w="1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建立安全规章制度,安全检查有记录。</w:t>
                  </w:r>
                </w:p>
              </w:tc>
              <w:tc>
                <w:tcPr>
                  <w:tcW w:type="dxa" w:w="1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无安全规章制度扣2分，无安全检查记录扣1分，若无相关人员签名确认视为无效记录。</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r>
            <w:tr>
              <w:tc>
                <w:tcPr>
                  <w:tcW w:type="dxa" w:w="727"/>
                  <w:vMerge/>
                  <w:tcBorders>
                    <w:top w:val="none" w:color="000000" w:sz="4"/>
                    <w:left w:val="single" w:color="000000" w:sz="4"/>
                    <w:bottom w:val="single" w:color="000000" w:sz="4"/>
                    <w:right w:val="single" w:color="000000" w:sz="4"/>
                  </w:tcBorders>
                </w:tcPr>
                <w:p/>
              </w:tc>
              <w:tc>
                <w:tcPr>
                  <w:tcW w:type="dxa" w:w="718"/>
                  <w:vMerge/>
                  <w:tcBorders>
                    <w:top w:val="none" w:color="000000" w:sz="4"/>
                    <w:left w:val="none" w:color="000000" w:sz="4"/>
                    <w:bottom w:val="single" w:color="000000" w:sz="4"/>
                    <w:right w:val="single" w:color="000000" w:sz="4"/>
                  </w:tcBorders>
                </w:tcPr>
                <w:p/>
              </w:tc>
              <w:tc>
                <w:tcPr>
                  <w:tcW w:type="dxa" w:w="1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 岗位人员有必要的安全保护措施；</w:t>
                  </w:r>
                  <w:r>
                    <w:br/>
                  </w:r>
                  <w:r>
                    <w:rPr>
                      <w:sz w:val="24"/>
                      <w:color w:val="000000"/>
                    </w:rPr>
                    <w:t>(2)有安全警示牌；</w:t>
                  </w:r>
                  <w:r>
                    <w:br/>
                  </w:r>
                  <w:r>
                    <w:rPr>
                      <w:sz w:val="24"/>
                      <w:color w:val="000000"/>
                    </w:rPr>
                    <w:t>(3)有毒有害场所有安全防护仪器和仪表；</w:t>
                  </w:r>
                  <w:r>
                    <w:br/>
                  </w:r>
                  <w:r>
                    <w:rPr>
                      <w:sz w:val="24"/>
                      <w:color w:val="000000"/>
                    </w:rPr>
                    <w:t>(4)危险品、易燃、易爆品按规管理。</w:t>
                  </w:r>
                </w:p>
              </w:tc>
              <w:tc>
                <w:tcPr>
                  <w:tcW w:type="dxa" w:w="1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有一项不达要求扣1分</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r>
            <w:tr>
              <w:tc>
                <w:tcPr>
                  <w:tcW w:type="dxa" w:w="727"/>
                  <w:vMerge/>
                  <w:tcBorders>
                    <w:top w:val="none" w:color="000000" w:sz="4"/>
                    <w:left w:val="single" w:color="000000" w:sz="4"/>
                    <w:bottom w:val="single" w:color="000000" w:sz="4"/>
                    <w:right w:val="single" w:color="000000" w:sz="4"/>
                  </w:tcBorders>
                </w:tcPr>
                <w:p/>
              </w:tc>
              <w:tc>
                <w:tcPr>
                  <w:tcW w:type="dxa" w:w="718"/>
                  <w:vMerge/>
                  <w:tcBorders>
                    <w:top w:val="none" w:color="000000" w:sz="4"/>
                    <w:left w:val="none" w:color="000000" w:sz="4"/>
                    <w:bottom w:val="single" w:color="000000" w:sz="4"/>
                    <w:right w:val="single" w:color="000000" w:sz="4"/>
                  </w:tcBorders>
                </w:tcPr>
                <w:p/>
              </w:tc>
              <w:tc>
                <w:tcPr>
                  <w:tcW w:type="dxa" w:w="1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厂主管安全负责人有上级颁发的安全培训证书。</w:t>
                  </w:r>
                </w:p>
              </w:tc>
              <w:tc>
                <w:tcPr>
                  <w:tcW w:type="dxa" w:w="1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无上级颁发的安全培训证书扣2分</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r>
            <w:tr>
              <w:tc>
                <w:tcPr>
                  <w:tcW w:type="dxa" w:w="727"/>
                  <w:vMerge/>
                  <w:tcBorders>
                    <w:top w:val="none" w:color="000000" w:sz="4"/>
                    <w:left w:val="single" w:color="000000" w:sz="4"/>
                    <w:bottom w:val="single" w:color="000000" w:sz="4"/>
                    <w:right w:val="single" w:color="000000" w:sz="4"/>
                  </w:tcBorders>
                </w:tcPr>
                <w:p/>
              </w:tc>
              <w:tc>
                <w:tcPr>
                  <w:tcW w:type="dxa" w:w="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生产运行记</w:t>
                  </w:r>
                  <w:r>
                    <w:br/>
                  </w:r>
                  <w:r>
                    <w:rPr>
                      <w:sz w:val="24"/>
                      <w:color w:val="000000"/>
                    </w:rPr>
                    <w:t>录</w:t>
                  </w:r>
                </w:p>
              </w:tc>
              <w:tc>
                <w:tcPr>
                  <w:tcW w:type="dxa" w:w="1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每月编制运行记录,实反映全厂设备、设施、工艺及生产运行情况，包括：</w:t>
                  </w:r>
                  <w:r>
                    <w:br/>
                  </w:r>
                  <w:r>
                    <w:rPr>
                      <w:sz w:val="24"/>
                      <w:color w:val="000000"/>
                    </w:rPr>
                    <w:t>(1)化验结果报告；</w:t>
                  </w:r>
                  <w:r>
                    <w:br/>
                  </w:r>
                  <w:r>
                    <w:rPr>
                      <w:sz w:val="24"/>
                      <w:color w:val="000000"/>
                    </w:rPr>
                    <w:t>(2) 各类设备、设施、仪表运行记录；</w:t>
                  </w:r>
                  <w:r>
                    <w:br/>
                  </w:r>
                  <w:r>
                    <w:rPr>
                      <w:sz w:val="24"/>
                      <w:color w:val="000000"/>
                    </w:rPr>
                    <w:t>(3) 运行工艺控制参数记录；</w:t>
                  </w:r>
                  <w:r>
                    <w:br/>
                  </w:r>
                  <w:r>
                    <w:rPr>
                      <w:sz w:val="24"/>
                      <w:color w:val="000000"/>
                    </w:rPr>
                    <w:t>(4) 生产运行计量及材料消耗记录；</w:t>
                  </w:r>
                  <w:r>
                    <w:br/>
                  </w:r>
                  <w:r>
                    <w:rPr>
                      <w:sz w:val="24"/>
                      <w:color w:val="000000"/>
                    </w:rPr>
                    <w:t>(5)库存材料、设备、备件等库存记录。</w:t>
                  </w:r>
                </w:p>
              </w:tc>
              <w:tc>
                <w:tcPr>
                  <w:tcW w:type="dxa" w:w="1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缺少一项扣1分,若无相关人员签名确认视为无效记录。</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r>
            <w:tr>
              <w:tc>
                <w:tcPr>
                  <w:tcW w:type="dxa" w:w="727"/>
                  <w:vMerge/>
                  <w:tcBorders>
                    <w:top w:val="none" w:color="000000" w:sz="4"/>
                    <w:left w:val="single" w:color="000000" w:sz="4"/>
                    <w:bottom w:val="single" w:color="000000" w:sz="4"/>
                    <w:right w:val="single" w:color="000000" w:sz="4"/>
                  </w:tcBorders>
                </w:tcPr>
                <w:p/>
              </w:tc>
              <w:tc>
                <w:tcPr>
                  <w:tcW w:type="dxa" w:w="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维护、维修</w:t>
                  </w:r>
                  <w:r>
                    <w:br/>
                  </w:r>
                  <w:r>
                    <w:rPr>
                      <w:sz w:val="24"/>
                      <w:color w:val="000000"/>
                    </w:rPr>
                    <w:t>记录</w:t>
                  </w:r>
                </w:p>
              </w:tc>
              <w:tc>
                <w:tcPr>
                  <w:tcW w:type="dxa" w:w="1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建立电气、仪表、机械设备台账，维护、维修记录包括:</w:t>
                  </w:r>
                  <w:r>
                    <w:br/>
                  </w:r>
                  <w:r>
                    <w:rPr>
                      <w:sz w:val="24"/>
                      <w:color w:val="000000"/>
                    </w:rPr>
                    <w:t>(1)电气、仪表、机械设备累计运行台时记录；</w:t>
                  </w:r>
                  <w:r>
                    <w:br/>
                  </w:r>
                  <w:r>
                    <w:rPr>
                      <w:sz w:val="24"/>
                      <w:color w:val="000000"/>
                    </w:rPr>
                    <w:t>(2) 电气、仪表、机械设备维修及保养记录；</w:t>
                  </w:r>
                  <w:r>
                    <w:br/>
                  </w:r>
                  <w:r>
                    <w:rPr>
                      <w:sz w:val="24"/>
                      <w:color w:val="000000"/>
                    </w:rPr>
                    <w:t>(3)设备维护、维修记录。</w:t>
                  </w:r>
                </w:p>
              </w:tc>
              <w:tc>
                <w:tcPr>
                  <w:tcW w:type="dxa" w:w="1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缺少一项扣1分,若无相关人员签名确认视为无效记录。</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r>
            <w:tr>
              <w:tc>
                <w:tcPr>
                  <w:tcW w:type="dxa" w:w="727"/>
                  <w:vMerge/>
                  <w:tcBorders>
                    <w:top w:val="none" w:color="000000" w:sz="4"/>
                    <w:left w:val="single" w:color="000000" w:sz="4"/>
                    <w:bottom w:val="single" w:color="000000" w:sz="4"/>
                    <w:right w:val="single" w:color="000000" w:sz="4"/>
                  </w:tcBorders>
                </w:tcPr>
                <w:p/>
              </w:tc>
              <w:tc>
                <w:tcPr>
                  <w:tcW w:type="dxa" w:w="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应急预案</w:t>
                  </w:r>
                </w:p>
              </w:tc>
              <w:tc>
                <w:tcPr>
                  <w:tcW w:type="dxa" w:w="1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建立事故应急体系，制定相应的安全生产、职业卫生、环境保护、自然灾害等应急预案。</w:t>
                  </w:r>
                </w:p>
              </w:tc>
              <w:tc>
                <w:tcPr>
                  <w:tcW w:type="dxa" w:w="1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缺少一项扣0.5分，一年内未组织演练扣2分</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r>
            <w:tr>
              <w:tc>
                <w:tcPr>
                  <w:tcW w:type="dxa" w:w="7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构筑物及</w:t>
                  </w:r>
                  <w:r>
                    <w:br/>
                  </w:r>
                  <w:r>
                    <w:rPr>
                      <w:sz w:val="24"/>
                      <w:color w:val="000000"/>
                    </w:rPr>
                    <w:t>设备管理</w:t>
                  </w:r>
                  <w:r>
                    <w:br/>
                  </w:r>
                  <w:r>
                    <w:rPr>
                      <w:sz w:val="24"/>
                      <w:color w:val="000000"/>
                    </w:rPr>
                    <w:t>(15分)</w:t>
                  </w:r>
                </w:p>
              </w:tc>
              <w:tc>
                <w:tcPr>
                  <w:tcW w:type="dxa" w:w="7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构筑物</w:t>
                  </w:r>
                </w:p>
              </w:tc>
              <w:tc>
                <w:tcPr>
                  <w:tcW w:type="dxa" w:w="1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所有构筑物的结构及各种闸阀、护栏、爬梯、管道、井盖、盖板、支架、走道桥、照明设备和防雷电设施等无明显腐蚀损坏</w:t>
                  </w:r>
                </w:p>
              </w:tc>
              <w:tc>
                <w:tcPr>
                  <w:tcW w:type="dxa" w:w="1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检查所有设施,发现一处腐蚀损坏扣0.5分</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r>
            <w:tr>
              <w:tc>
                <w:tcPr>
                  <w:tcW w:type="dxa" w:w="727"/>
                  <w:vMerge/>
                  <w:tcBorders>
                    <w:top w:val="none" w:color="000000" w:sz="4"/>
                    <w:left w:val="single" w:color="000000" w:sz="4"/>
                    <w:bottom w:val="single" w:color="000000" w:sz="4"/>
                    <w:right w:val="single" w:color="000000" w:sz="4"/>
                  </w:tcBorders>
                </w:tcPr>
                <w:p/>
              </w:tc>
              <w:tc>
                <w:tcPr>
                  <w:tcW w:type="dxa" w:w="718"/>
                  <w:vMerge/>
                  <w:tcBorders>
                    <w:top w:val="none" w:color="000000" w:sz="4"/>
                    <w:left w:val="none" w:color="000000" w:sz="4"/>
                    <w:bottom w:val="single" w:color="000000" w:sz="4"/>
                    <w:right w:val="single" w:color="000000" w:sz="4"/>
                  </w:tcBorders>
                </w:tcPr>
                <w:p/>
              </w:tc>
              <w:tc>
                <w:tcPr>
                  <w:tcW w:type="dxa" w:w="1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观测构筑物运营情况，构筑物运行正常，不沉降，不漏水</w:t>
                  </w:r>
                </w:p>
              </w:tc>
              <w:tc>
                <w:tcPr>
                  <w:tcW w:type="dxa" w:w="1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构筑物沉降扣1分，构筑物漏水扣1分</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r>
            <w:tr>
              <w:tc>
                <w:tcPr>
                  <w:tcW w:type="dxa" w:w="727"/>
                  <w:vMerge/>
                  <w:tcBorders>
                    <w:top w:val="none" w:color="000000" w:sz="4"/>
                    <w:left w:val="single" w:color="000000" w:sz="4"/>
                    <w:bottom w:val="single" w:color="000000" w:sz="4"/>
                    <w:right w:val="single" w:color="000000" w:sz="4"/>
                  </w:tcBorders>
                </w:tcPr>
                <w:p/>
              </w:tc>
              <w:tc>
                <w:tcPr>
                  <w:tcW w:type="dxa" w:w="7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设备</w:t>
                  </w:r>
                </w:p>
              </w:tc>
              <w:tc>
                <w:tcPr>
                  <w:tcW w:type="dxa" w:w="1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所有设备外观整洁，螺栓齐全牢固</w:t>
                  </w:r>
                </w:p>
              </w:tc>
              <w:tc>
                <w:tcPr>
                  <w:tcW w:type="dxa" w:w="1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检查所有设备，发现一处缺失螺栓扣1分</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r>
            <w:tr>
              <w:tc>
                <w:tcPr>
                  <w:tcW w:type="dxa" w:w="727"/>
                  <w:vMerge/>
                  <w:tcBorders>
                    <w:top w:val="none" w:color="000000" w:sz="4"/>
                    <w:left w:val="single" w:color="000000" w:sz="4"/>
                    <w:bottom w:val="single" w:color="000000" w:sz="4"/>
                    <w:right w:val="single" w:color="000000" w:sz="4"/>
                  </w:tcBorders>
                </w:tcPr>
                <w:p/>
              </w:tc>
              <w:tc>
                <w:tcPr>
                  <w:tcW w:type="dxa" w:w="718"/>
                  <w:vMerge/>
                  <w:tcBorders>
                    <w:top w:val="none" w:color="000000" w:sz="4"/>
                    <w:left w:val="none" w:color="000000" w:sz="4"/>
                    <w:bottom w:val="single" w:color="000000" w:sz="4"/>
                    <w:right w:val="single" w:color="000000" w:sz="4"/>
                  </w:tcBorders>
                </w:tcPr>
                <w:p/>
              </w:tc>
              <w:tc>
                <w:tcPr>
                  <w:tcW w:type="dxa" w:w="1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所有设备无腐蚀渗漏</w:t>
                  </w:r>
                </w:p>
              </w:tc>
              <w:tc>
                <w:tcPr>
                  <w:tcW w:type="dxa" w:w="1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检查所有设备,发现一处腐性渗漏扣1分</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r>
            <w:tr>
              <w:tc>
                <w:tcPr>
                  <w:tcW w:type="dxa" w:w="727"/>
                  <w:vMerge/>
                  <w:tcBorders>
                    <w:top w:val="none" w:color="000000" w:sz="4"/>
                    <w:left w:val="single" w:color="000000" w:sz="4"/>
                    <w:bottom w:val="single" w:color="000000" w:sz="4"/>
                    <w:right w:val="single" w:color="000000" w:sz="4"/>
                  </w:tcBorders>
                </w:tcPr>
                <w:p/>
              </w:tc>
              <w:tc>
                <w:tcPr>
                  <w:tcW w:type="dxa" w:w="718"/>
                  <w:vMerge/>
                  <w:tcBorders>
                    <w:top w:val="none" w:color="000000" w:sz="4"/>
                    <w:left w:val="none" w:color="000000" w:sz="4"/>
                    <w:bottom w:val="single" w:color="000000" w:sz="4"/>
                    <w:right w:val="single" w:color="000000" w:sz="4"/>
                  </w:tcBorders>
                </w:tcPr>
                <w:p/>
              </w:tc>
              <w:tc>
                <w:tcPr>
                  <w:tcW w:type="dxa" w:w="1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所有设备台账齐全</w:t>
                  </w:r>
                </w:p>
              </w:tc>
              <w:tc>
                <w:tcPr>
                  <w:tcW w:type="dxa" w:w="1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无设备台账扣1分</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r>
            <w:tr>
              <w:tc>
                <w:tcPr>
                  <w:tcW w:type="dxa" w:w="7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设备配置</w:t>
                  </w:r>
                  <w:r>
                    <w:br/>
                  </w:r>
                  <w:r>
                    <w:rPr>
                      <w:sz w:val="24"/>
                      <w:color w:val="000000"/>
                    </w:rPr>
                    <w:t>(10分)</w:t>
                  </w:r>
                </w:p>
              </w:tc>
              <w:tc>
                <w:tcPr>
                  <w:tcW w:type="dxa" w:w="7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维护设备</w:t>
                  </w:r>
                </w:p>
              </w:tc>
              <w:tc>
                <w:tcPr>
                  <w:tcW w:type="dxa" w:w="1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全市至少配备一辆管道清通的专用车辆</w:t>
                  </w:r>
                </w:p>
              </w:tc>
              <w:tc>
                <w:tcPr>
                  <w:tcW w:type="dxa" w:w="1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无配备扣5分</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r>
            <w:tr>
              <w:tc>
                <w:tcPr>
                  <w:tcW w:type="dxa" w:w="727"/>
                  <w:vMerge/>
                  <w:tcBorders>
                    <w:top w:val="none" w:color="000000" w:sz="4"/>
                    <w:left w:val="single" w:color="000000" w:sz="4"/>
                    <w:bottom w:val="single" w:color="000000" w:sz="4"/>
                    <w:right w:val="single" w:color="000000" w:sz="4"/>
                  </w:tcBorders>
                </w:tcPr>
                <w:p/>
              </w:tc>
              <w:tc>
                <w:tcPr>
                  <w:tcW w:type="dxa" w:w="718"/>
                  <w:vMerge/>
                  <w:tcBorders>
                    <w:top w:val="none" w:color="000000" w:sz="4"/>
                    <w:left w:val="none" w:color="000000" w:sz="4"/>
                    <w:bottom w:val="single" w:color="000000" w:sz="4"/>
                    <w:right w:val="single" w:color="000000" w:sz="4"/>
                  </w:tcBorders>
                </w:tcPr>
                <w:p/>
              </w:tc>
              <w:tc>
                <w:tcPr>
                  <w:tcW w:type="dxa" w:w="1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维护作业队伍配备易燃、易爆、有毒气体监测装置、防毒面具</w:t>
                  </w:r>
                </w:p>
              </w:tc>
              <w:tc>
                <w:tcPr>
                  <w:tcW w:type="dxa" w:w="1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缺少一项扣1分</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厂容厂貌</w:t>
                  </w:r>
                  <w:r>
                    <w:br/>
                  </w:r>
                  <w:r>
                    <w:rPr>
                      <w:sz w:val="24"/>
                      <w:color w:val="000000"/>
                    </w:rPr>
                    <w:t>(5分)</w:t>
                  </w:r>
                </w:p>
              </w:tc>
              <w:tc>
                <w:tcPr>
                  <w:tcW w:type="dxa" w:w="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厂(站)环境</w:t>
                  </w:r>
                </w:p>
                <w:p>
                  <w:pPr>
                    <w:pStyle w:val="null3"/>
                    <w:jc w:val="left"/>
                  </w:pPr>
                  <w:r>
                    <w:rPr>
                      <w:sz w:val="24"/>
                      <w:color w:val="000000"/>
                    </w:rPr>
                    <w:t>及工作人员</w:t>
                  </w:r>
                </w:p>
              </w:tc>
              <w:tc>
                <w:tcPr>
                  <w:tcW w:type="dxa" w:w="1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（1）厂(站)无杂物堆置</w:t>
                  </w:r>
                </w:p>
                <w:p>
                  <w:pPr>
                    <w:pStyle w:val="null3"/>
                    <w:jc w:val="left"/>
                  </w:pPr>
                  <w:r>
                    <w:rPr>
                      <w:sz w:val="24"/>
                      <w:color w:val="000000"/>
                    </w:rPr>
                    <w:t>（2）厂(站)环境整洁</w:t>
                  </w:r>
                </w:p>
                <w:p>
                  <w:pPr>
                    <w:pStyle w:val="null3"/>
                    <w:jc w:val="left"/>
                  </w:pPr>
                  <w:r>
                    <w:rPr>
                      <w:sz w:val="24"/>
                      <w:color w:val="000000"/>
                    </w:rPr>
                    <w:t>（3）绿化达标，植物有人打理</w:t>
                  </w:r>
                </w:p>
                <w:p>
                  <w:pPr>
                    <w:pStyle w:val="null3"/>
                    <w:jc w:val="left"/>
                  </w:pPr>
                  <w:r>
                    <w:rPr>
                      <w:sz w:val="24"/>
                      <w:color w:val="000000"/>
                    </w:rPr>
                    <w:t>（4）厂(站)周围无明显感觉到污水臭气</w:t>
                  </w:r>
                </w:p>
                <w:p>
                  <w:pPr>
                    <w:pStyle w:val="null3"/>
                    <w:jc w:val="left"/>
                  </w:pPr>
                  <w:r>
                    <w:rPr>
                      <w:sz w:val="24"/>
                      <w:color w:val="000000"/>
                    </w:rPr>
                    <w:t>（5）操作人员着装整齐，文明礼貌</w:t>
                  </w:r>
                </w:p>
              </w:tc>
              <w:tc>
                <w:tcPr>
                  <w:tcW w:type="dxa" w:w="1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不达标每项扣1分</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社会影响</w:t>
                  </w:r>
                  <w:r>
                    <w:br/>
                  </w:r>
                  <w:r>
                    <w:rPr>
                      <w:sz w:val="24"/>
                      <w:color w:val="000000"/>
                    </w:rPr>
                    <w:t>(5 分)</w:t>
                  </w:r>
                </w:p>
              </w:tc>
              <w:tc>
                <w:tcPr>
                  <w:tcW w:type="dxa" w:w="262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不被政府部门处罚、被社会有效投诉或公众媒体有效负面报道</w:t>
                  </w:r>
                </w:p>
              </w:tc>
              <w:tc>
                <w:tcPr>
                  <w:tcW w:type="dxa" w:w="1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被政府部门处罚扣5分；被社会有效投诉每次扣2.5分；被公众媒体有效负面报道扣5分。</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r>
          </w:tbl>
          <w:p>
            <w:pPr>
              <w:pStyle w:val="null3"/>
              <w:ind w:firstLine="480"/>
              <w:jc w:val="both"/>
            </w:pPr>
            <w:r>
              <w:rPr>
                <w:sz w:val="24"/>
                <w:color w:val="000000"/>
              </w:rPr>
              <w:t>注：满分为考核对象各考核项目对应分值之和，总得分为各考核项目得分相加之和。</w:t>
            </w:r>
          </w:p>
          <w:p>
            <w:pPr>
              <w:pStyle w:val="null3"/>
              <w:ind w:firstLine="480"/>
              <w:jc w:val="both"/>
            </w:pPr>
            <w:r>
              <w:rPr>
                <w:sz w:val="24"/>
                <w:color w:val="000000"/>
              </w:rPr>
              <w:t>2、污水处理设施的违约处理</w:t>
            </w:r>
          </w:p>
          <w:p>
            <w:pPr>
              <w:pStyle w:val="null3"/>
              <w:ind w:firstLine="480"/>
              <w:jc w:val="both"/>
            </w:pPr>
            <w:r>
              <w:rPr>
                <w:sz w:val="24"/>
                <w:color w:val="000000"/>
              </w:rPr>
              <w:t>（</w:t>
            </w:r>
            <w:r>
              <w:rPr>
                <w:sz w:val="24"/>
                <w:color w:val="000000"/>
              </w:rPr>
              <w:t>1）考核得分大于90分的，按合同约定的污水处理服务费进行支付。</w:t>
            </w:r>
          </w:p>
          <w:p>
            <w:pPr>
              <w:pStyle w:val="null3"/>
              <w:ind w:firstLine="480"/>
              <w:jc w:val="both"/>
            </w:pPr>
            <w:r>
              <w:rPr>
                <w:sz w:val="24"/>
                <w:color w:val="000000"/>
              </w:rPr>
              <w:t>（</w:t>
            </w:r>
            <w:r>
              <w:rPr>
                <w:sz w:val="24"/>
                <w:color w:val="000000"/>
              </w:rPr>
              <w:t>2）污水处理设施的运营考核以季度为单位，及格线为90分，当季考核得分低于及格线，按低于及格线每分处以5000元的违约金，从该季的污水处理服务费中扣除，</w:t>
            </w:r>
          </w:p>
          <w:p>
            <w:pPr>
              <w:pStyle w:val="null3"/>
              <w:ind w:firstLine="480"/>
              <w:jc w:val="both"/>
            </w:pPr>
            <w:r>
              <w:rPr>
                <w:sz w:val="24"/>
                <w:color w:val="000000"/>
              </w:rPr>
              <w:t>公式如下：</w:t>
            </w:r>
          </w:p>
          <w:p>
            <w:pPr>
              <w:pStyle w:val="null3"/>
              <w:ind w:firstLine="480"/>
              <w:jc w:val="both"/>
            </w:pPr>
            <w:r>
              <w:rPr>
                <w:sz w:val="24"/>
                <w:color w:val="000000"/>
              </w:rPr>
              <w:t>污水处理设施运营维护不达标的违约金</w:t>
            </w:r>
            <w:r>
              <w:rPr>
                <w:sz w:val="24"/>
                <w:color w:val="000000"/>
              </w:rPr>
              <w:t>=5000*（90—当季得分）对考核严重不达标分数线的情况及相应处罚办法双方另行协商确定。</w:t>
            </w:r>
          </w:p>
          <w:p>
            <w:pPr>
              <w:pStyle w:val="null3"/>
              <w:ind w:firstLine="480"/>
              <w:jc w:val="both"/>
            </w:pPr>
            <w:r>
              <w:rPr>
                <w:sz w:val="24"/>
                <w:color w:val="000000"/>
              </w:rPr>
              <w:t>（</w:t>
            </w:r>
            <w:r>
              <w:rPr>
                <w:sz w:val="24"/>
                <w:color w:val="000000"/>
              </w:rPr>
              <w:t>3）考核得分低于70分的，取消当季的污水处理服务费。</w:t>
            </w:r>
          </w:p>
          <w:p>
            <w:pPr>
              <w:pStyle w:val="null3"/>
              <w:ind w:firstLine="480"/>
              <w:jc w:val="both"/>
            </w:pPr>
            <w:r>
              <w:rPr>
                <w:sz w:val="24"/>
                <w:color w:val="000000"/>
              </w:rPr>
              <w:t>3.污水处理服务费支付方式</w:t>
            </w:r>
          </w:p>
          <w:p>
            <w:pPr>
              <w:pStyle w:val="null3"/>
              <w:ind w:firstLine="480"/>
              <w:jc w:val="both"/>
            </w:pPr>
            <w:r>
              <w:rPr>
                <w:sz w:val="24"/>
                <w:color w:val="000000"/>
              </w:rPr>
              <w:t>在运营期内以污水处理服务费支付：</w:t>
            </w:r>
          </w:p>
          <w:p>
            <w:pPr>
              <w:pStyle w:val="null3"/>
              <w:ind w:firstLine="480"/>
              <w:jc w:val="both"/>
            </w:pPr>
            <w:r>
              <w:rPr>
                <w:sz w:val="24"/>
                <w:color w:val="000000"/>
              </w:rPr>
              <w:t>污水处理服务费按季度申报，按季度结算。</w:t>
            </w:r>
          </w:p>
          <w:p>
            <w:pPr>
              <w:pStyle w:val="null3"/>
              <w:ind w:firstLine="480"/>
              <w:jc w:val="both"/>
            </w:pPr>
            <w:r>
              <w:rPr>
                <w:sz w:val="24"/>
                <w:color w:val="000000"/>
              </w:rPr>
              <w:t>中标单位申报当季度污水处理服务费，需由揭阳市生态环境局普宁分局出具当季的出水水质意见和经采购人确认的污水处理量，作为该季度中的污水处理量进行结算。</w:t>
            </w:r>
          </w:p>
          <w:p>
            <w:pPr>
              <w:pStyle w:val="null3"/>
              <w:ind w:firstLine="480"/>
              <w:jc w:val="both"/>
            </w:pPr>
            <w:r>
              <w:rPr>
                <w:sz w:val="24"/>
                <w:color w:val="000000"/>
              </w:rPr>
              <w:t>每季度污水处理费按可结算实际处理水量汇总</w:t>
            </w:r>
            <w:r>
              <w:rPr>
                <w:sz w:val="24"/>
                <w:color w:val="000000"/>
              </w:rPr>
              <w:t>*运营单价-当季应予扣除费用进行结算。每个结算周期内，出水水质指标检测结果达不到合同约定的出水水质标准的，每检测一次不合格（由采购人聘请的第三方检测单位、揭阳市环境生态局普宁分局或其它有资质检测机构），扣减该结算周期运营费的20%，扣完为止。</w:t>
            </w:r>
          </w:p>
          <w:p>
            <w:pPr>
              <w:pStyle w:val="null3"/>
              <w:ind w:firstLine="480"/>
              <w:jc w:val="both"/>
            </w:pPr>
            <w:r>
              <w:rPr>
                <w:sz w:val="24"/>
                <w:color w:val="000000"/>
              </w:rPr>
              <w:t>污水处理服务费包括以下两部分：</w:t>
            </w:r>
          </w:p>
          <w:p>
            <w:pPr>
              <w:pStyle w:val="null3"/>
              <w:ind w:firstLine="480"/>
              <w:jc w:val="both"/>
            </w:pPr>
            <w:r>
              <w:rPr>
                <w:sz w:val="24"/>
                <w:color w:val="000000"/>
              </w:rPr>
              <w:t>1）采购人提供进入军埠污水处理厂的污水量低于或等于设计规模（2万吨/日）或下架山水质净化厂的污水量低于或等于设计规模（1.5万吨/日）时，中标单位全部处理，设计规模以内处理量的运营费用按中标单价计取，当污水处理量大于设计规模时，超出部分污水量按运营费计取。</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1.采购代理机构：本项目是指广东邦晟招标代理有限公司，负责整个采购活动的组织，依法负责编制和发布招标文件，对招标文件拥有最终的解释权，不以任何身份出任评标委员会成员。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普宁市住房和城乡建设局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采购机构代理服务收费标准：参照《国家计委关于印发〈招标代理服务费收费标准管理暂行办法〉的通知》（计价格[2002]1980号）的规定执行，本项目类型为服务类。</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广东邦晟招标代理有限公司</w:t>
      </w:r>
      <w:r>
        <w:rPr/>
        <w:t>代收。具体操作要求详见</w:t>
      </w:r>
      <w:r>
        <w:rPr/>
        <w:t>广东邦晟招标代理有限公司</w:t>
      </w:r>
      <w:r>
        <w:rPr/>
        <w:t>有关指引，递交事宜请自行咨询</w:t>
      </w:r>
      <w:r>
        <w:rPr/>
        <w:t>广东邦晟招标代理有限公司</w:t>
      </w:r>
      <w:r>
        <w:rPr/>
        <w:t>；请各投标人在投标文件递交截止时间前按须知前附表规定的金额递交至</w:t>
      </w:r>
      <w:r>
        <w:rPr/>
        <w:t>广东邦晟招标代理有限公司</w:t>
      </w:r>
      <w:r>
        <w:rPr/>
        <w:t>，到账情况以开标时</w:t>
      </w:r>
      <w:r>
        <w:rPr/>
        <w:t>广东邦晟招标代理有限公司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杨工</w:t>
      </w:r>
    </w:p>
    <w:p>
      <w:pPr>
        <w:pStyle w:val="null3"/>
        <w:ind w:firstLine="480"/>
      </w:pPr>
      <w:r>
        <w:rPr/>
        <w:t>电话：</w:t>
      </w:r>
      <w:r>
        <w:rPr/>
        <w:t>0663-2119336</w:t>
      </w:r>
    </w:p>
    <w:p>
      <w:pPr>
        <w:pStyle w:val="null3"/>
        <w:ind w:firstLine="480"/>
      </w:pPr>
      <w:r>
        <w:rPr/>
        <w:t>传真：</w:t>
      </w:r>
      <w:r>
        <w:rPr/>
        <w:t>/</w:t>
      </w:r>
    </w:p>
    <w:p>
      <w:pPr>
        <w:pStyle w:val="null3"/>
        <w:ind w:firstLine="480"/>
      </w:pPr>
      <w:r>
        <w:rPr/>
        <w:t>邮箱：</w:t>
      </w:r>
      <w:r>
        <w:rPr/>
        <w:t>gdbszbdl@163.com</w:t>
      </w:r>
    </w:p>
    <w:p>
      <w:pPr>
        <w:pStyle w:val="null3"/>
        <w:ind w:firstLine="480"/>
      </w:pPr>
      <w:r>
        <w:rPr/>
        <w:t>地址：</w:t>
      </w:r>
      <w:r>
        <w:rPr/>
        <w:t>广东省揭阳市普宁市流沙北街道南园村瑞安里东片4巷3号第4层</w:t>
      </w:r>
    </w:p>
    <w:p>
      <w:pPr>
        <w:pStyle w:val="null3"/>
        <w:ind w:firstLine="480"/>
      </w:pPr>
      <w:r>
        <w:rPr/>
        <w:t>邮编：</w:t>
      </w:r>
      <w:r>
        <w:rPr/>
        <w:t>515300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政府采购监督管理机构名称：普宁市财政局政府采购管理股</w:t>
      </w:r>
    </w:p>
    <w:p>
      <w:pPr>
        <w:pStyle w:val="null3"/>
      </w:pPr>
      <w:r>
        <w:rPr/>
        <w:t>地 址：广东省普宁市流沙西街道南平里11幢</w:t>
      </w:r>
    </w:p>
    <w:p>
      <w:pPr>
        <w:pStyle w:val="null3"/>
      </w:pPr>
      <w:r>
        <w:rPr/>
        <w:t>电 话：0663-2253011</w:t>
      </w:r>
    </w:p>
    <w:p>
      <w:pPr>
        <w:pStyle w:val="null3"/>
      </w:pPr>
      <w:r>
        <w:rPr/>
        <w:t>邮 编：515300</w:t>
      </w:r>
    </w:p>
    <w:p>
      <w:pPr>
        <w:pStyle w:val="null3"/>
      </w:pPr>
      <w:r>
        <w:rPr/>
        <w:t>传 真：0663-2218899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普宁市军埠污水处理厂、下架山水质净化厂运维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广东邦晟招标代理有限公司</w:t>
      </w:r>
      <w:r>
        <w:rPr/>
        <w:t>统一对外发布。</w:t>
      </w:r>
    </w:p>
    <w:p>
      <w:pPr>
        <w:pStyle w:val="null3"/>
        <w:ind w:firstLine="480"/>
      </w:pPr>
      <w:r>
        <w:rPr/>
        <w:t>（2）对</w:t>
      </w:r>
      <w:r>
        <w:rPr/>
        <w:t>广东邦晟招标代理有限公司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采购包1（普宁市军埠污水处理厂、下架山水质净化厂运维服务项目）：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采购包1（普宁市军埠污水处理厂、下架山水质净化厂运维服务项目）：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提供投标截止日前6个月内任意1个月依法缴纳税收和社会保障资金的相关材料。如依法免税或不需要缴纳社会保障资金的，提供相应证明材料；或投标时提供《资格承诺函》，可参照公告附件格式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报表）复印件或基本开户行出具的资信证明），投标人为新成立的，提供成立至今的月或季度财务报告（或报表）复印件；或投标时提供《资格承诺函》，可参照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或投标时提供《资格承诺函》，可参照公告附件格式</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本采购包不属于专门面向中小企业采购</w:t>
            </w:r>
          </w:p>
        </w:tc>
        <w:tc>
          <w:tcPr>
            <w:tcW w:type="dxa" w:w="4238"/>
          </w:tcPr>
          <w:p>
            <w:pPr>
              <w:pStyle w:val="null3"/>
            </w:pPr>
            <w:r>
              <w:rPr/>
              <w:t>本采购包不属于专门面向中小企业采购</w:t>
            </w:r>
          </w:p>
        </w:tc>
      </w:tr>
    </w:tbl>
    <w:p>
      <w:pPr>
        <w:pStyle w:val="null3"/>
        <w:ind w:firstLine="480"/>
      </w:pPr>
      <w:r>
        <w:rPr/>
        <w:t>表二符合性审查表：</w:t>
      </w:r>
    </w:p>
    <w:p>
      <w:pPr>
        <w:pStyle w:val="null3"/>
      </w:pPr>
      <w:r>
        <w:rPr/>
        <w:t>采购包1（普宁市军埠污水处理厂、下架山水质净化厂运维服务项目）：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投标报价唯一，不高于采购人需求规定的预算金额或最高限价，或投标报价没有明显低于其他通过符合性审查投标人的报价。</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符合招标文件的签署、盖章要求。</w:t>
            </w:r>
          </w:p>
        </w:tc>
      </w:tr>
      <w:tr>
        <w:tc>
          <w:tcPr>
            <w:tcW w:type="dxa" w:w="890"/>
          </w:tcPr>
          <w:p>
            <w:pPr>
              <w:pStyle w:val="null3"/>
            </w:pPr>
            <w:r>
              <w:rPr/>
              <w:t>3</w:t>
            </w:r>
          </w:p>
        </w:tc>
        <w:tc>
          <w:tcPr>
            <w:tcW w:type="dxa" w:w="3178"/>
          </w:tcPr>
          <w:p>
            <w:pPr>
              <w:pStyle w:val="null3"/>
            </w:pPr>
            <w:r>
              <w:rPr/>
              <w:t>法定代表人证明和授权证明</w:t>
            </w:r>
          </w:p>
        </w:tc>
        <w:tc>
          <w:tcPr>
            <w:tcW w:type="dxa" w:w="4238"/>
          </w:tcPr>
          <w:p>
            <w:pPr>
              <w:pStyle w:val="null3"/>
            </w:pPr>
            <w:r>
              <w:rPr/>
              <w:t>按招标文件要求提供《法定代表人/负责人资格证明书》，若有授权时须同时提供《法定代表人/负责人授权委托书》的。</w:t>
            </w:r>
          </w:p>
        </w:tc>
      </w:tr>
      <w:tr>
        <w:tc>
          <w:tcPr>
            <w:tcW w:type="dxa" w:w="890"/>
          </w:tcPr>
          <w:p>
            <w:pPr>
              <w:pStyle w:val="null3"/>
            </w:pPr>
            <w:r>
              <w:rPr/>
              <w:t>4</w:t>
            </w:r>
          </w:p>
        </w:tc>
        <w:tc>
          <w:tcPr>
            <w:tcW w:type="dxa" w:w="3178"/>
          </w:tcPr>
          <w:p>
            <w:pPr>
              <w:pStyle w:val="null3"/>
            </w:pPr>
            <w:r>
              <w:rPr/>
              <w:t>投标有效期</w:t>
            </w:r>
          </w:p>
        </w:tc>
        <w:tc>
          <w:tcPr>
            <w:tcW w:type="dxa" w:w="4238"/>
          </w:tcPr>
          <w:p>
            <w:pPr>
              <w:pStyle w:val="null3"/>
            </w:pPr>
            <w:r>
              <w:rPr/>
              <w:t>符合招标文件投标有效期要求的。</w:t>
            </w:r>
          </w:p>
        </w:tc>
      </w:tr>
      <w:tr>
        <w:tc>
          <w:tcPr>
            <w:tcW w:type="dxa" w:w="890"/>
          </w:tcPr>
          <w:p>
            <w:pPr>
              <w:pStyle w:val="null3"/>
            </w:pPr>
            <w:r>
              <w:rPr/>
              <w:t>5</w:t>
            </w:r>
          </w:p>
        </w:tc>
        <w:tc>
          <w:tcPr>
            <w:tcW w:type="dxa" w:w="3178"/>
          </w:tcPr>
          <w:p>
            <w:pPr>
              <w:pStyle w:val="null3"/>
            </w:pPr>
            <w:r>
              <w:rPr/>
              <w:t>实质性条款</w:t>
            </w:r>
          </w:p>
        </w:tc>
        <w:tc>
          <w:tcPr>
            <w:tcW w:type="dxa" w:w="4238"/>
          </w:tcPr>
          <w:p>
            <w:pPr>
              <w:pStyle w:val="null3"/>
            </w:pPr>
            <w:r>
              <w:rPr/>
              <w:t>满足招标文件中带★号的条款和指标，且符合招标文件的其他要求，没有重大偏离的。</w:t>
            </w:r>
          </w:p>
        </w:tc>
      </w:tr>
      <w:tr>
        <w:tc>
          <w:tcPr>
            <w:tcW w:type="dxa" w:w="890"/>
          </w:tcPr>
          <w:p>
            <w:pPr>
              <w:pStyle w:val="null3"/>
            </w:pPr>
            <w:r>
              <w:rPr/>
              <w:t>6</w:t>
            </w:r>
          </w:p>
        </w:tc>
        <w:tc>
          <w:tcPr>
            <w:tcW w:type="dxa" w:w="3178"/>
          </w:tcPr>
          <w:p>
            <w:pPr>
              <w:pStyle w:val="null3"/>
            </w:pPr>
            <w:r>
              <w:rPr/>
              <w:t>未发现无效投标的其他情形的</w:t>
            </w:r>
          </w:p>
        </w:tc>
        <w:tc>
          <w:tcPr>
            <w:tcW w:type="dxa" w:w="4238"/>
          </w:tcPr>
          <w:p>
            <w:pPr>
              <w:pStyle w:val="null3"/>
            </w:pPr>
            <w:r>
              <w:rPr/>
              <w:t>（1）评标期间，投标人没有按评标委员会的要求提交经授权代表签字的澄清、说明、补正或改变了投标文件的实质性内容的；（2）经评标委员会认定投标文件提供虚假材料的；（3）投标人以他人的名义投标、串通投标、以行贿手段谋取中标或者以其他弄虚作假方式投标的；（4）投标人对采购人、采购代理机构、评标委员会及其工作人员施加影响，有碍招标公平、公正的；（5）投标文件附有采购人不能接受的条件；（6）出现不符合相关法律、法规要求的情况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采购包1(普宁市军埠污水处理厂、下架山水质净化厂运维服务项目):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技术部分45.0分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运营维护服务方案 (15.0分)</w:t>
            </w:r>
          </w:p>
        </w:tc>
        <w:tc>
          <w:tcPr>
            <w:tcW w:type="dxa" w:w="5076"/>
          </w:tcPr>
          <w:p>
            <w:pPr>
              <w:pStyle w:val="null3"/>
              <w:jc w:val="left"/>
            </w:pPr>
            <w:r>
              <w:rPr/>
              <w:t>据各供应商对项目的技术服务方案进行综合评审： （1）供应商提供的技术方案清晰完整、维护方案科学、专业性强、可操作性强、对项目的工作思路、方法、技术路线、项目进度安排好的，得15分； （2）供应商提供的技术方案较清晰完整、维护方案较科学、专业性较强、可操作性较强、对项目的工作思路、方法、技术路线、项目进度安排较好的，得10分； （3）供应商提供的技术方案、维护方案、专业性、可操作性、对项目的工作思路、方法、技术路线、项目进度安排一般的，得5分； （4）供应商提供的技术方案欠缺清晰、维护方案欠缺科学、欠缺专业性、欠缺可操作性、对项目的工作思路、方法、技术路线、项目进度安排欠缺的，得1分； （5）无提供方案得0分。</w:t>
            </w:r>
          </w:p>
        </w:tc>
      </w:tr>
      <w:tr>
        <w:tc>
          <w:tcPr>
            <w:tcW w:type="dxa" w:w="922"/>
            <w:gridSpan w:val="2"/>
            <w:vMerge/>
          </w:tcPr>
          <w:p/>
        </w:tc>
        <w:tc>
          <w:tcPr>
            <w:tcW w:type="dxa" w:w="2307"/>
          </w:tcPr>
          <w:p>
            <w:pPr>
              <w:pStyle w:val="null3"/>
              <w:jc w:val="left"/>
            </w:pPr>
            <w:r>
              <w:rPr/>
              <w:t>应急保障方案 (10.0分)</w:t>
            </w:r>
          </w:p>
        </w:tc>
        <w:tc>
          <w:tcPr>
            <w:tcW w:type="dxa" w:w="5076"/>
          </w:tcPr>
          <w:p>
            <w:pPr>
              <w:pStyle w:val="null3"/>
              <w:jc w:val="left"/>
            </w:pPr>
            <w:r>
              <w:rPr/>
              <w:t>根据供应商的应急保障方案（应包含但不限于重大设备、安全生产、水质异常等应急处理方案）进行评审： （1）应急保障方案切实可行，内容详尽，措施及细节周全，对本项目服务有极佳的保障，得10分； （2）应急保障方案基本较好，能对主要细节做出安排，对本项目服务有一定的质量保障，得8分； （3）应急保障方案可行性一般，对本项目服务的应急保障要求部分满足，得5分； （4）应急保障方案可行差，未能体现对本项目服务的应急保障要求，得1分； （5）未提供相应方案不得分。</w:t>
            </w:r>
          </w:p>
        </w:tc>
      </w:tr>
      <w:tr>
        <w:tc>
          <w:tcPr>
            <w:tcW w:type="dxa" w:w="922"/>
            <w:gridSpan w:val="2"/>
            <w:vMerge/>
          </w:tcPr>
          <w:p/>
        </w:tc>
        <w:tc>
          <w:tcPr>
            <w:tcW w:type="dxa" w:w="2307"/>
          </w:tcPr>
          <w:p>
            <w:pPr>
              <w:pStyle w:val="null3"/>
              <w:jc w:val="left"/>
            </w:pPr>
            <w:r>
              <w:rPr/>
              <w:t>安全防护方案 (10.0分)</w:t>
            </w:r>
          </w:p>
        </w:tc>
        <w:tc>
          <w:tcPr>
            <w:tcW w:type="dxa" w:w="5076"/>
          </w:tcPr>
          <w:p>
            <w:pPr>
              <w:pStyle w:val="null3"/>
              <w:jc w:val="left"/>
            </w:pPr>
            <w:r>
              <w:rPr/>
              <w:t>根据供应商所提供的安全防护制度（或方案）进行评审： （1）安全防护方案切实可行，内容详尽，措施及细节周全，对本项目服务有极佳的安全防护，得10分； （2）安全防护方案基本较好，能对主要细节做出安排，对本项目服务有一定的安全措施，得8分； （3）安全防护方案可行性一般，对本项目服务的安全要求部分满足，得5分； （4）安全防护方案可行性差，未能体现对本项目服务的安全防护要求，得2分； （5）未提供相应方案不得分。</w:t>
            </w:r>
          </w:p>
        </w:tc>
      </w:tr>
      <w:tr>
        <w:tc>
          <w:tcPr>
            <w:tcW w:type="dxa" w:w="922"/>
            <w:gridSpan w:val="2"/>
            <w:vMerge/>
          </w:tcPr>
          <w:p/>
        </w:tc>
        <w:tc>
          <w:tcPr>
            <w:tcW w:type="dxa" w:w="2307"/>
          </w:tcPr>
          <w:p>
            <w:pPr>
              <w:pStyle w:val="null3"/>
              <w:jc w:val="left"/>
            </w:pPr>
            <w:r>
              <w:rPr/>
              <w:t>服务承诺及质量保证 (10.0分)</w:t>
            </w:r>
          </w:p>
        </w:tc>
        <w:tc>
          <w:tcPr>
            <w:tcW w:type="dxa" w:w="5076"/>
          </w:tcPr>
          <w:p>
            <w:pPr>
              <w:pStyle w:val="null3"/>
              <w:jc w:val="left"/>
            </w:pPr>
            <w:r>
              <w:rPr/>
              <w:t>根据各供应商服务承诺及质量保证方案进行评审： （1）服务承诺及质量保证措施完善、内容合理、保障性及可行性强的，得10分； （2）具有服务承诺及质量保证措施、且内容基本合理可行，具有一定保障性及可操作性的，得8分； （3）服务承诺及质量保证措施合理性、可行性、保障性及可操作性一般的，对本项目服务的服务及质量保证要求部分满足，得5分； （4）服务承诺及质量保证措施可行性差，未能体现对本项目服务的服务及质量保证，得2分； （5）不提供得分。</w:t>
            </w:r>
          </w:p>
        </w:tc>
      </w:tr>
      <w:tr>
        <w:tc>
          <w:tcPr>
            <w:tcW w:type="dxa" w:w="922"/>
            <w:gridSpan w:val="2"/>
            <w:vMerge w:val="restart"/>
          </w:tcPr>
          <w:p>
            <w:pPr>
              <w:pStyle w:val="null3"/>
              <w:jc w:val="center"/>
            </w:pPr>
            <w:r>
              <w:rPr/>
              <w:t>商务部分</w:t>
            </w:r>
          </w:p>
        </w:tc>
        <w:tc>
          <w:tcPr>
            <w:tcW w:type="dxa" w:w="2307"/>
          </w:tcPr>
          <w:p>
            <w:pPr>
              <w:pStyle w:val="null3"/>
              <w:jc w:val="left"/>
            </w:pPr>
            <w:r>
              <w:rPr/>
              <w:t>类似项目业绩 (6.0分)</w:t>
            </w:r>
          </w:p>
        </w:tc>
        <w:tc>
          <w:tcPr>
            <w:tcW w:type="dxa" w:w="5076"/>
          </w:tcPr>
          <w:p>
            <w:pPr>
              <w:pStyle w:val="null3"/>
              <w:jc w:val="left"/>
            </w:pPr>
            <w:r>
              <w:rPr/>
              <w:t>投标人近五年（2020 年至投标截止日）承接过水质净化厂（或污水处理厂）运营业绩，运营规模1.5万吨/天及以上的，每提供一项得3分，最高得 6分。 注：1、提供有效的中标通知书、合同关键页扫描件。2、时间以合同签订日期为准。</w:t>
            </w:r>
          </w:p>
        </w:tc>
      </w:tr>
      <w:tr>
        <w:tc>
          <w:tcPr>
            <w:tcW w:type="dxa" w:w="922"/>
            <w:gridSpan w:val="2"/>
            <w:vMerge/>
          </w:tcPr>
          <w:p/>
        </w:tc>
        <w:tc>
          <w:tcPr>
            <w:tcW w:type="dxa" w:w="2307"/>
          </w:tcPr>
          <w:p>
            <w:pPr>
              <w:pStyle w:val="null3"/>
              <w:jc w:val="left"/>
            </w:pPr>
            <w:r>
              <w:rPr/>
              <w:t>企业认证 (6.0分)</w:t>
            </w:r>
          </w:p>
        </w:tc>
        <w:tc>
          <w:tcPr>
            <w:tcW w:type="dxa" w:w="5076"/>
          </w:tcPr>
          <w:p>
            <w:pPr>
              <w:pStyle w:val="null3"/>
              <w:jc w:val="left"/>
            </w:pPr>
            <w:r>
              <w:rPr/>
              <w:t>1、投标人同时具有环境管理体系认证证书、知识产权管理体系认证证书、诚信管理体系认证证书；且上述认证证书认证范围均具有污水处理运营或运行养护的，得3分。 注：要求同时提供有效的认证证书扫描件及认证证书在全国认证认可信息公共服务平台（认e云）查询截图（查询网址：http://cx.cnca.cn/，证书状态须显示“有效”），作为得分依据。 2、投标人具有环境服务认证证书（服务范围包括：城镇集中式污水处理设施运营服务）：服务等级一级的，得3分； 注：需提供有效的认证证书扫描件，否则不得分。 以上2项累加计分，本项最高得6分。</w:t>
            </w:r>
          </w:p>
        </w:tc>
      </w:tr>
      <w:tr>
        <w:tc>
          <w:tcPr>
            <w:tcW w:type="dxa" w:w="922"/>
            <w:gridSpan w:val="2"/>
            <w:vMerge/>
          </w:tcPr>
          <w:p/>
        </w:tc>
        <w:tc>
          <w:tcPr>
            <w:tcW w:type="dxa" w:w="2307"/>
          </w:tcPr>
          <w:p>
            <w:pPr>
              <w:pStyle w:val="null3"/>
              <w:jc w:val="left"/>
            </w:pPr>
            <w:r>
              <w:rPr/>
              <w:t>企业奖项 (6.0分)</w:t>
            </w:r>
          </w:p>
        </w:tc>
        <w:tc>
          <w:tcPr>
            <w:tcW w:type="dxa" w:w="5076"/>
          </w:tcPr>
          <w:p>
            <w:pPr>
              <w:pStyle w:val="null3"/>
              <w:jc w:val="left"/>
            </w:pPr>
            <w:r>
              <w:rPr/>
              <w:t>1、投标人近五年（2020 年至投标截止日）承接过水质净化厂（或污水处理厂）项目获得过国家优质工程奖的，得3分，最高得3分。 2、近五年（2020年至今）获得过国家级（国务院或其组成部门）颁发的科学技术奖（或科学技术进步奖）的，得3分，最高得3分。 以上2项累加计分，本项最高得6分。 注：需提供获奖证书的复印件，以证书颁发时间为准，否则不得分。</w:t>
            </w:r>
          </w:p>
        </w:tc>
      </w:tr>
      <w:tr>
        <w:tc>
          <w:tcPr>
            <w:tcW w:type="dxa" w:w="922"/>
            <w:gridSpan w:val="2"/>
            <w:vMerge/>
          </w:tcPr>
          <w:p/>
        </w:tc>
        <w:tc>
          <w:tcPr>
            <w:tcW w:type="dxa" w:w="2307"/>
          </w:tcPr>
          <w:p>
            <w:pPr>
              <w:pStyle w:val="null3"/>
              <w:jc w:val="left"/>
            </w:pPr>
            <w:r>
              <w:rPr/>
              <w:t>企业创新 (4.0分)</w:t>
            </w:r>
          </w:p>
        </w:tc>
        <w:tc>
          <w:tcPr>
            <w:tcW w:type="dxa" w:w="5076"/>
          </w:tcPr>
          <w:p>
            <w:pPr>
              <w:pStyle w:val="null3"/>
              <w:jc w:val="left"/>
            </w:pPr>
            <w:r>
              <w:rPr/>
              <w:t>投标人获得过污水处理相关专利（发明或实用新型），每项得2分，最高得4分。 需提供有效的专利证书复印件，否则不得分。</w:t>
            </w:r>
          </w:p>
        </w:tc>
      </w:tr>
      <w:tr>
        <w:tc>
          <w:tcPr>
            <w:tcW w:type="dxa" w:w="922"/>
            <w:gridSpan w:val="2"/>
            <w:vMerge/>
          </w:tcPr>
          <w:p/>
        </w:tc>
        <w:tc>
          <w:tcPr>
            <w:tcW w:type="dxa" w:w="2307"/>
          </w:tcPr>
          <w:p>
            <w:pPr>
              <w:pStyle w:val="null3"/>
              <w:jc w:val="left"/>
            </w:pPr>
            <w:r>
              <w:rPr/>
              <w:t>拟派出项目负责人 (4.0分)</w:t>
            </w:r>
          </w:p>
        </w:tc>
        <w:tc>
          <w:tcPr>
            <w:tcW w:type="dxa" w:w="5076"/>
          </w:tcPr>
          <w:p>
            <w:pPr>
              <w:pStyle w:val="null3"/>
              <w:jc w:val="left"/>
            </w:pPr>
            <w:r>
              <w:rPr/>
              <w:t>1、拟派项目负责人：具有给排水或环境相关专业高级工程师及以上职称得2 分，获得过省级人民政府（或国务院）或其组成部门颁发的水质净化厂（或污水处理厂）项目奖项（获奖证书需体现拟派项目负责人姓名）的得2分，本小项最高得4分。 2、注：需提供相关证书、由社保部门出具的投标截止日期近6个月内任一个月社保缴纳证明文件和身份证正反面复印件。</w:t>
            </w:r>
          </w:p>
        </w:tc>
      </w:tr>
      <w:tr>
        <w:tc>
          <w:tcPr>
            <w:tcW w:type="dxa" w:w="922"/>
            <w:gridSpan w:val="2"/>
            <w:vMerge/>
          </w:tcPr>
          <w:p/>
        </w:tc>
        <w:tc>
          <w:tcPr>
            <w:tcW w:type="dxa" w:w="2307"/>
          </w:tcPr>
          <w:p>
            <w:pPr>
              <w:pStyle w:val="null3"/>
              <w:jc w:val="left"/>
            </w:pPr>
            <w:r>
              <w:rPr/>
              <w:t>拟派主要人员服务能力 (9.0分)</w:t>
            </w:r>
          </w:p>
        </w:tc>
        <w:tc>
          <w:tcPr>
            <w:tcW w:type="dxa" w:w="5076"/>
          </w:tcPr>
          <w:p>
            <w:pPr>
              <w:pStyle w:val="null3"/>
              <w:jc w:val="left"/>
            </w:pPr>
            <w:r>
              <w:rPr/>
              <w:t>（1）技术负责人（1人）：同时具有注册公用设备工程师（给水排水）和注册环保工程师和给排水或环境相关专业高级工程师及以上职称的，得 3 分； （2）运营负责人（1人）：具有给排水或环境相关专业高级工程师及以上职称的，得2 分； （3）专业运行维护人员（1人）：具备环境相关专业工程师及以上职称的，且同时具备人社局颁发电工三级或以上职业资格证书，得2分； （4）安全管理人员（1人）：具备安全相关专业中级及以上职称的，且具备注册安全工程师执业资格证，得2分； 以上4项累加计分，本项最高得9分。 以上人员不可互相兼任。上述人员需提供有效证书、由社保部门出具的投标截止日期近6个月内任一个月社保缴纳证明文件和身份证正反面复印件。</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445281-2025-03759</w:t>
      </w:r>
    </w:p>
    <w:p>
      <w:pPr>
        <w:pStyle w:val="null3"/>
        <w:jc w:val="center"/>
        <w:outlineLvl w:val="3"/>
      </w:pPr>
      <w:r>
        <w:rPr>
          <w:sz w:val="24"/>
          <w:b/>
        </w:rPr>
        <w:t>采购项目编号：</w:t>
      </w:r>
      <w:r>
        <w:rPr>
          <w:sz w:val="24"/>
          <w:b/>
        </w:rPr>
        <w:t>BSZBDL202508001GD</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广东邦晟招标代理有限公司</w:t>
      </w:r>
    </w:p>
    <w:p>
      <w:pPr>
        <w:pStyle w:val="null3"/>
        <w:ind w:firstLine="480"/>
      </w:pPr>
      <w:r>
        <w:rPr/>
        <w:t xml:space="preserve"> 你方组织的</w:t>
      </w:r>
      <w:r>
        <w:rPr>
          <w:u w:val="single"/>
        </w:rPr>
        <w:t>“</w:t>
      </w:r>
      <w:r>
        <w:rPr>
          <w:u w:val="single"/>
        </w:rPr>
        <w:t>普宁市军埠污水处理厂、下架山水质净化厂运维服务项目</w:t>
      </w:r>
      <w:r>
        <w:rPr>
          <w:u w:val="single"/>
        </w:rPr>
        <w:t>”</w:t>
      </w:r>
      <w:r>
        <w:rPr/>
        <w:t>项目的招标[采购项目编号为：</w:t>
      </w:r>
      <w:r>
        <w:rPr>
          <w:u w:val="single"/>
        </w:rPr>
        <w:t>BSZBDL202508001GD</w:t>
      </w:r>
      <w:r>
        <w:rPr/>
        <w:t>]，我方愿参与投标。</w:t>
      </w:r>
    </w:p>
    <w:p>
      <w:pPr>
        <w:pStyle w:val="null3"/>
        <w:ind w:firstLine="480"/>
      </w:pPr>
      <w:r>
        <w:rPr/>
        <w:t>我方确认收到贵方提供的</w:t>
      </w:r>
      <w:r>
        <w:rPr>
          <w:u w:val="single"/>
        </w:rPr>
        <w:t>“</w:t>
      </w:r>
      <w:r>
        <w:rPr>
          <w:u w:val="single"/>
        </w:rPr>
        <w:t>普宁市军埠污水处理厂、下架山水质净化厂运维服务项目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广东邦晟招标代理有限公司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普宁市军埠污水处理厂、下架山水质净化厂运维服务项目</w:t>
      </w:r>
      <w:r>
        <w:rPr/>
        <w:t>”项目采购[采购项目编号为</w:t>
      </w:r>
      <w:r>
        <w:rPr/>
        <w:t>BSZBDL202508001GD</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普宁市住房和城乡建设局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广东邦晟招标代理有限公司</w:t>
      </w:r>
    </w:p>
    <w:p>
      <w:pPr>
        <w:pStyle w:val="null3"/>
        <w:ind w:firstLine="480"/>
      </w:pPr>
      <w:r>
        <w:rPr/>
        <w:t xml:space="preserve"> 如果我方在贵采购代理机构组织的</w:t>
      </w:r>
      <w:r>
        <w:rPr/>
        <w:t>普宁市军埠污水处理厂、下架山水质净化厂运维服务项目</w:t>
      </w:r>
      <w:r>
        <w:rPr/>
        <w:t>招标中获中标（采购项目编号：</w:t>
      </w:r>
      <w:r>
        <w:rPr/>
        <w:t>BSZBDL202508001GD</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广东邦晟招标代理有限公司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广东邦晟招标代理有限公司</w:t>
      </w:r>
    </w:p>
    <w:p>
      <w:pPr>
        <w:pStyle w:val="null3"/>
        <w:ind w:firstLine="480"/>
      </w:pPr>
      <w:r>
        <w:rPr/>
        <w:t>我单位已登记并准备参与“</w:t>
      </w:r>
      <w:r>
        <w:rPr/>
        <w:t>普宁市军埠污水处理厂、下架山水质净化厂运维服务项目</w:t>
      </w:r>
      <w:r>
        <w:rPr/>
        <w:t>”项目（采购项目编号：</w:t>
      </w:r>
      <w:r>
        <w:rPr/>
        <w:t>BSZBDL202508001GD</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