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445281-2026-00356</w:t>
      </w:r>
    </w:p>
    <w:p>
      <w:pPr>
        <w:pStyle w:val="null3"/>
        <w:jc w:val="center"/>
        <w:outlineLvl w:val="3"/>
      </w:pPr>
      <w:r>
        <w:rPr>
          <w:sz w:val="24"/>
          <w:b/>
        </w:rPr>
        <w:t>采购项目编号：</w:t>
      </w:r>
      <w:r>
        <w:rPr>
          <w:sz w:val="24"/>
          <w:b/>
        </w:rPr>
        <w:t>BSZBDL202601003GD</w:t>
      </w:r>
    </w:p>
    <w:p>
      <w:pPr>
        <w:pStyle w:val="null3"/>
        <w:jc w:val="center"/>
        <w:outlineLvl w:val="3"/>
      </w:pPr>
      <w:r>
        <w:rPr>
          <w:sz w:val="24"/>
          <w:b/>
        </w:rPr>
        <w:t>项目名称：</w:t>
      </w:r>
      <w:r>
        <w:rPr>
          <w:sz w:val="24"/>
          <w:b/>
        </w:rPr>
        <w:t>2026年军埠镇人居环境整治项目</w:t>
      </w:r>
    </w:p>
    <w:p>
      <w:pPr>
        <w:pStyle w:val="null3"/>
        <w:jc w:val="center"/>
        <w:outlineLvl w:val="3"/>
      </w:pPr>
      <w:r>
        <w:rPr>
          <w:sz w:val="24"/>
          <w:b/>
        </w:rPr>
        <w:t>采购人：</w:t>
      </w:r>
      <w:r>
        <w:rPr>
          <w:sz w:val="24"/>
          <w:b/>
        </w:rPr>
        <w:t>普宁市军埠镇人民政府</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广东邦晟招标代理有限公司</w:t>
      </w:r>
      <w:r>
        <w:rPr/>
        <w:t>受</w:t>
      </w:r>
      <w:r>
        <w:rPr/>
        <w:t>普宁市军埠镇人民政府</w:t>
      </w:r>
      <w:r>
        <w:rPr/>
        <w:t>的委托，采用</w:t>
      </w:r>
      <w:r>
        <w:rPr/>
        <w:t>公开招标</w:t>
      </w:r>
      <w:r>
        <w:rPr/>
        <w:t>方式组织采购</w:t>
      </w:r>
      <w:r>
        <w:rPr/>
        <w:t>2026年军埠镇人居环境整治项目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2026年军埠镇人居环境整治项目</w:t>
      </w:r>
    </w:p>
    <w:p>
      <w:pPr>
        <w:pStyle w:val="null3"/>
        <w:ind w:firstLine="480"/>
      </w:pPr>
      <w:r>
        <w:rPr/>
        <w:t>采购计划编号：</w:t>
      </w:r>
      <w:r>
        <w:rPr/>
        <w:t>445281-2026-00356</w:t>
      </w:r>
    </w:p>
    <w:p>
      <w:pPr>
        <w:pStyle w:val="null3"/>
        <w:ind w:firstLine="480"/>
      </w:pPr>
      <w:r>
        <w:rPr/>
        <w:t>采购项目编号：</w:t>
      </w:r>
      <w:r>
        <w:rPr/>
        <w:t>BSZBDL202601003GD</w:t>
      </w:r>
    </w:p>
    <w:p>
      <w:pPr>
        <w:pStyle w:val="null3"/>
        <w:ind w:firstLine="480"/>
      </w:pPr>
      <w:r>
        <w:rPr/>
        <w:t>采购方式：</w:t>
      </w:r>
      <w:r>
        <w:rPr/>
        <w:t>公开招标</w:t>
      </w:r>
    </w:p>
    <w:p>
      <w:pPr>
        <w:pStyle w:val="null3"/>
        <w:ind w:firstLine="480"/>
      </w:pPr>
      <w:r>
        <w:rPr/>
        <w:t>预算金额：</w:t>
      </w:r>
      <w:r>
        <w:rPr/>
        <w:t>1,506,176.30</w:t>
      </w:r>
      <w:r>
        <w:rPr/>
        <w:t>元</w:t>
      </w:r>
    </w:p>
    <w:p>
      <w:pPr>
        <w:pStyle w:val="null3"/>
        <w:outlineLvl w:val="3"/>
      </w:pPr>
      <w:r>
        <w:rPr>
          <w:sz w:val="24"/>
          <w:b/>
        </w:rPr>
        <w:t>2.项目内容及需求情况（采购项目技术规格、参数及要求）</w:t>
      </w:r>
    </w:p>
    <w:p>
      <w:pPr>
        <w:pStyle w:val="null3"/>
      </w:pPr>
      <w:r>
        <w:rPr/>
        <w:t>采购包1(2026年军埠镇人居环境整治项目):</w:t>
      </w:r>
    </w:p>
    <w:p>
      <w:pPr>
        <w:pStyle w:val="null3"/>
      </w:pPr>
      <w:r>
        <w:rPr/>
        <w:t>采购包预算金额：1,506,176.30元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2026年军埠镇人居环境整治项目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合同履行期限：自合同签订之日起服务期一年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采购包1（2026年军埠镇人居环境整治项目）：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采购包1（2026年军埠镇人居环境整治项目）：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普宁市军埠镇人民政府</w:t>
      </w:r>
    </w:p>
    <w:p>
      <w:pPr>
        <w:pStyle w:val="null3"/>
        <w:ind w:firstLine="480"/>
      </w:pPr>
      <w:r>
        <w:rPr/>
        <w:t xml:space="preserve"> 地址：</w:t>
      </w:r>
      <w:r>
        <w:rPr/>
        <w:t>普宁市军埠镇军埠圩</w:t>
      </w:r>
    </w:p>
    <w:p>
      <w:pPr>
        <w:pStyle w:val="null3"/>
        <w:ind w:firstLine="480"/>
      </w:pPr>
      <w:r>
        <w:rPr/>
        <w:t xml:space="preserve"> 联系方式：</w:t>
      </w:r>
      <w:r>
        <w:rPr/>
        <w:t>0663-2357276</w:t>
      </w:r>
    </w:p>
    <w:p>
      <w:pPr>
        <w:pStyle w:val="null3"/>
        <w:outlineLvl w:val="3"/>
      </w:pPr>
      <w:r>
        <w:rPr>
          <w:sz w:val="24"/>
          <w:b/>
        </w:rPr>
        <w:t xml:space="preserve"> 2.采购代理机构信息</w:t>
      </w:r>
    </w:p>
    <w:p>
      <w:pPr>
        <w:pStyle w:val="null3"/>
        <w:ind w:firstLine="480"/>
      </w:pPr>
      <w:r>
        <w:rPr/>
        <w:t xml:space="preserve"> 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项目编号：BSZBDL202601003GD</w:t>
      </w:r>
    </w:p>
    <w:p>
      <w:pPr>
        <w:pStyle w:val="null3"/>
      </w:pPr>
      <w:r>
        <w:rPr/>
        <w:t>项目名称：2026年军埠镇人居环境整治项目</w:t>
      </w:r>
    </w:p>
    <w:p>
      <w:pPr>
        <w:pStyle w:val="null3"/>
      </w:pPr>
      <w:r>
        <w:rPr/>
        <w:t>预算金额：1506176.3元</w:t>
      </w:r>
    </w:p>
    <w:p>
      <w:pPr>
        <w:pStyle w:val="null3"/>
      </w:pPr>
      <w:r>
        <w:rPr/>
        <w:t>最高限价（如有）：1506176.3元</w:t>
      </w:r>
    </w:p>
    <w:p>
      <w:pPr>
        <w:pStyle w:val="null3"/>
      </w:pPr>
      <w:r>
        <w:rPr/>
        <w:t>采购需求：（包括但不限于标的的名称、数量、简要技术需求或服务要求等）</w:t>
      </w:r>
    </w:p>
    <w:p>
      <w:pPr>
        <w:pStyle w:val="null3"/>
      </w:pPr>
      <w:r>
        <w:rPr/>
        <w:t>1、标的名称：2026年军埠镇人居环境整治项目</w:t>
      </w:r>
    </w:p>
    <w:p>
      <w:pPr>
        <w:pStyle w:val="null3"/>
      </w:pPr>
      <w:r>
        <w:rPr/>
        <w:t>2、标的数量：1年</w:t>
      </w:r>
      <w:r>
        <w:rPr>
          <w:b/>
        </w:rPr>
        <w:t xml:space="preserve"> </w:t>
      </w:r>
    </w:p>
    <w:p>
      <w:pPr>
        <w:pStyle w:val="null3"/>
      </w:pPr>
      <w:r>
        <w:rPr/>
        <w:t>3、简要技术需求或服务要求：</w:t>
      </w:r>
    </w:p>
    <w:tbl>
      <w:tblPr>
        <w:tblW w:w="0" w:type="auto"/>
        <w:tblBorders>
          <w:top w:val="single"/>
          <w:left w:val="single"/>
          <w:bottom w:val="single"/>
          <w:right w:val="single"/>
          <w:insideH w:val="single"/>
          <w:insideV w:val="single"/>
        </w:tblBorders>
      </w:tblPr>
      <w:tblGrid>
        <w:gridCol w:w="1500"/>
        <w:gridCol w:w="1500"/>
        <w:gridCol w:w="1500"/>
        <w:gridCol w:w="1500"/>
        <w:gridCol w:w="1500"/>
      </w:tblGrid>
      <w:tr>
        <w:tc>
          <w:tcPr>
            <w:tcW w:type="dxa" w:w="1500"/>
          </w:tcPr>
          <w:p>
            <w:pPr>
              <w:pStyle w:val="null3"/>
              <w:jc w:val="center"/>
            </w:pPr>
            <w:r>
              <w:rPr/>
              <w:t>序号</w:t>
            </w:r>
          </w:p>
        </w:tc>
        <w:tc>
          <w:tcPr>
            <w:tcW w:type="dxa" w:w="1500"/>
          </w:tcPr>
          <w:p>
            <w:pPr>
              <w:pStyle w:val="null3"/>
              <w:jc w:val="center"/>
            </w:pPr>
            <w:r>
              <w:rPr/>
              <w:t>项目内容</w:t>
            </w:r>
          </w:p>
        </w:tc>
        <w:tc>
          <w:tcPr>
            <w:tcW w:type="dxa" w:w="1500"/>
          </w:tcPr>
          <w:p>
            <w:pPr>
              <w:pStyle w:val="null3"/>
              <w:jc w:val="center"/>
            </w:pPr>
            <w:r>
              <w:rPr/>
              <w:t>数量</w:t>
            </w:r>
          </w:p>
        </w:tc>
        <w:tc>
          <w:tcPr>
            <w:tcW w:type="dxa" w:w="1500"/>
          </w:tcPr>
          <w:p>
            <w:pPr>
              <w:pStyle w:val="null3"/>
              <w:jc w:val="center"/>
            </w:pPr>
            <w:r>
              <w:rPr/>
              <w:t>最高限价</w:t>
            </w:r>
          </w:p>
          <w:p>
            <w:pPr>
              <w:pStyle w:val="null3"/>
              <w:jc w:val="center"/>
            </w:pPr>
            <w:r>
              <w:rPr/>
              <w:t>（人民币/元）</w:t>
            </w:r>
          </w:p>
        </w:tc>
        <w:tc>
          <w:tcPr>
            <w:tcW w:type="dxa" w:w="1500"/>
          </w:tcPr>
          <w:p>
            <w:pPr>
              <w:pStyle w:val="null3"/>
              <w:jc w:val="center"/>
            </w:pPr>
            <w:r>
              <w:rPr/>
              <w:t>合同履行期限</w:t>
            </w:r>
          </w:p>
        </w:tc>
      </w:tr>
      <w:tr>
        <w:tc>
          <w:tcPr>
            <w:tcW w:type="dxa" w:w="1500"/>
          </w:tcPr>
          <w:p>
            <w:pPr>
              <w:pStyle w:val="null3"/>
              <w:jc w:val="center"/>
            </w:pPr>
            <w:r>
              <w:rPr/>
              <w:t>1</w:t>
            </w:r>
          </w:p>
        </w:tc>
        <w:tc>
          <w:tcPr>
            <w:tcW w:type="dxa" w:w="1500"/>
          </w:tcPr>
          <w:p>
            <w:pPr>
              <w:pStyle w:val="null3"/>
              <w:jc w:val="center"/>
            </w:pPr>
            <w:r>
              <w:rPr/>
              <w:t>2026年军埠镇人居环境整治项目</w:t>
            </w:r>
          </w:p>
        </w:tc>
        <w:tc>
          <w:tcPr>
            <w:tcW w:type="dxa" w:w="1500"/>
          </w:tcPr>
          <w:p>
            <w:pPr>
              <w:pStyle w:val="null3"/>
              <w:jc w:val="center"/>
            </w:pPr>
            <w:r>
              <w:rPr/>
              <w:t>1年</w:t>
            </w:r>
          </w:p>
        </w:tc>
        <w:tc>
          <w:tcPr>
            <w:tcW w:type="dxa" w:w="1500"/>
          </w:tcPr>
          <w:p>
            <w:pPr>
              <w:pStyle w:val="null3"/>
              <w:jc w:val="center"/>
            </w:pPr>
            <w:r>
              <w:rPr/>
              <w:t>1506176.3</w:t>
            </w:r>
          </w:p>
        </w:tc>
        <w:tc>
          <w:tcPr>
            <w:tcW w:type="dxa" w:w="1500"/>
          </w:tcPr>
          <w:p>
            <w:pPr>
              <w:pStyle w:val="null3"/>
              <w:jc w:val="center"/>
            </w:pPr>
            <w:r>
              <w:rPr/>
              <w:t>自合同签订之日起服务期一年</w:t>
            </w:r>
          </w:p>
        </w:tc>
      </w:tr>
    </w:tbl>
    <w:p>
      <w:pPr>
        <w:pStyle w:val="null3"/>
      </w:pPr>
      <w: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t>4、其他：详细内容见采购人需求</w:t>
      </w:r>
    </w:p>
    <w:p>
      <w:pPr>
        <w:pStyle w:val="null3"/>
      </w:pPr>
      <w:r>
        <w:rPr/>
        <w:t>5、本项目不接受联合体投标。</w:t>
      </w:r>
    </w:p>
    <w:p>
      <w:pPr>
        <w:pStyle w:val="null3"/>
      </w:pPr>
      <w:r>
        <w:rPr/>
        <w:t>采购包1（2026年军埠镇人居环境整治项目）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自合同签订之日起服务期一年</w:t>
            </w:r>
          </w:p>
        </w:tc>
      </w:tr>
      <w:tr>
        <w:tc>
          <w:tcPr>
            <w:tcW w:type="dxa" w:w="4153"/>
          </w:tcPr>
          <w:p>
            <w:pPr>
              <w:pStyle w:val="null3"/>
            </w:pPr>
            <w:r>
              <w:rPr/>
              <w:t>标的提供的地点</w:t>
            </w:r>
          </w:p>
        </w:tc>
        <w:tc>
          <w:tcPr>
            <w:tcW w:type="dxa" w:w="4153"/>
          </w:tcPr>
          <w:p>
            <w:pPr>
              <w:pStyle w:val="null3"/>
            </w:pPr>
            <w:r>
              <w:rPr/>
              <w:t>按照采购人指定地点</w:t>
            </w:r>
          </w:p>
        </w:tc>
      </w:tr>
      <w:tr>
        <w:tc>
          <w:tcPr>
            <w:tcW w:type="dxa" w:w="4153"/>
          </w:tcPr>
          <w:p>
            <w:pPr>
              <w:pStyle w:val="null3"/>
            </w:pPr>
            <w:r>
              <w:rPr/>
              <w:t>付款方式</w:t>
            </w:r>
          </w:p>
        </w:tc>
        <w:tc>
          <w:tcPr>
            <w:tcW w:type="dxa" w:w="4153"/>
          </w:tcPr>
          <w:p>
            <w:pPr>
              <w:pStyle w:val="null3"/>
            </w:pPr>
            <w:r>
              <w:rPr/>
              <w:t>1期：支付比例100%, 1、支付比例8.333%，服务费按月结算，当月服务费发票于次月5日前送到采购人处进行核实，核实无误后进行支付。 2、支付比例8.333%，服务费按月结算，当月服务费发票于次月5日前送到采购人处进行核实，核实无误后进行支付。 3、支付比例8.333%，服务费按月结算，当月服务费发票于次月5日前送到采购人处进行核实，核实无误后进行支付。 4、支付比例8.333%，服务费按月结算，当月服务费发票于次月5日前送到采购人处进行核实，核实无误后进行支付。 5、支付比例8.333%，服务费按月结算，当月服务费发票于次月5日前送到采购人处进行核实，核实无误后进行支付。 6、支付比例8.333%，服务费按月结算，当月服务费发票于次月5日前送到采购人处进行核实，核实无误后进行支付。 7、支付比例8.333%，服务费按月结算，当月服务费发票于次月5日前送到采购人处进行核实，核实无误后进行支付。 8、支付比例8.333%，服务费按月结算，当月服务费发票于次月5日前送到采购人处进行核实，核实无误后进行支付。 9、支付比例8.333%，服务费按月结算，当月服务费发票于次月5日前送到采购人处进行核实，核实无误后进行支付。 10、支付比例8.333%，服务费按月结算，当月服务费发票于次月5日前送到采购人处进行核实，核实无误后进行支付。 11、支付比例8.333%，服务费按月结算，当月服务费发票于次月5日前送到采购人处进行核实，核实无误后进行支付。 12、支付比例8.333%，服务费按月结算，当月服务费发票于次月5日前送到采购人处进行核实，核实无误后进行支付。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履约期限届满后进行验收，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报价应包括服务、人工、管理、材料、运输、税费及合同实施过程中一切不可预见的费用等。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如涉及政府强制采购产品</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2026年军埠镇人居环境整治项目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1,506,176.30</w:t>
            </w:r>
          </w:p>
        </w:tc>
        <w:tc>
          <w:tcPr>
            <w:tcW w:type="dxa" w:w="933"/>
          </w:tcPr>
          <w:p>
            <w:pPr>
              <w:pStyle w:val="null3"/>
              <w:jc w:val="right"/>
            </w:pPr>
            <w:r>
              <w:rPr/>
              <w:t>1,506,176.30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2026年军埠镇人居环境整治项目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numPr>
                <w:ilvl w:val="0"/>
                <w:numId w:val="1"/>
              </w:numPr>
              <w:jc w:val="left"/>
            </w:pPr>
            <w:r>
              <w:rPr>
                <w:sz w:val="28"/>
                <w:b/>
              </w:rPr>
              <w:t>项目实施作业量</w:t>
            </w:r>
          </w:p>
          <w:p>
            <w:pPr>
              <w:pStyle w:val="null3"/>
              <w:numPr>
                <w:ilvl w:val="0"/>
                <w:numId w:val="1"/>
              </w:numPr>
              <w:jc w:val="left"/>
            </w:pPr>
            <w:r>
              <w:rPr>
                <w:sz w:val="28"/>
              </w:rPr>
              <w:t>道路保洁作业量表</w:t>
            </w:r>
          </w:p>
          <w:tbl>
            <w:tblPr>
              <w:tblInd w:type="dxa" w:w="90"/>
              <w:tblBorders>
                <w:top w:val="none" w:color="000000" w:sz="4"/>
                <w:left w:val="none" w:color="000000" w:sz="4"/>
                <w:bottom w:val="none" w:color="000000" w:sz="4"/>
                <w:right w:val="none" w:color="000000" w:sz="4"/>
                <w:insideH w:val="none"/>
                <w:insideV w:val="none"/>
              </w:tblBorders>
            </w:tblPr>
            <w:tblGrid>
              <w:gridCol w:w="231"/>
              <w:gridCol w:w="886"/>
              <w:gridCol w:w="354"/>
              <w:gridCol w:w="323"/>
              <w:gridCol w:w="470"/>
              <w:gridCol w:w="323"/>
              <w:gridCol w:w="678"/>
              <w:gridCol w:w="1310"/>
              <w:gridCol w:w="994"/>
            </w:tblGrid>
            <w:tr>
              <w:tc>
                <w:tcPr>
                  <w:tcW w:type="dxa" w:w="2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服务范围</w:t>
                  </w:r>
                </w:p>
              </w:tc>
              <w:tc>
                <w:tcPr>
                  <w:tcW w:type="dxa" w:w="6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路段长宽</w:t>
                  </w:r>
                </w:p>
              </w:tc>
              <w:tc>
                <w:tcPr>
                  <w:tcW w:type="dxa" w:w="4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日作业数量（</w:t>
                  </w:r>
                  <w:r>
                    <w:rPr>
                      <w:sz w:val="20"/>
                      <w:b/>
                      <w:color w:val="000000"/>
                    </w:rPr>
                    <w:t>m2）</w:t>
                  </w:r>
                </w:p>
              </w:tc>
              <w:tc>
                <w:tcPr>
                  <w:tcW w:type="dxa" w:w="3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年作业天数</w:t>
                  </w:r>
                </w:p>
              </w:tc>
              <w:tc>
                <w:tcPr>
                  <w:tcW w:type="dxa" w:w="6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年作业量</w:t>
                  </w:r>
                  <w:r>
                    <w:br/>
                  </w:r>
                  <w:r>
                    <w:rPr>
                      <w:sz w:val="20"/>
                      <w:b/>
                      <w:color w:val="000000"/>
                    </w:rPr>
                    <w:t>（</w:t>
                  </w:r>
                  <w:r>
                    <w:rPr>
                      <w:sz w:val="20"/>
                      <w:b/>
                      <w:color w:val="000000"/>
                    </w:rPr>
                    <w:t>m2）</w:t>
                  </w:r>
                </w:p>
              </w:tc>
              <w:tc>
                <w:tcPr>
                  <w:tcW w:type="dxa" w:w="13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服务内容</w:t>
                  </w:r>
                </w:p>
              </w:tc>
              <w:tc>
                <w:tcPr>
                  <w:tcW w:type="dxa" w:w="9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31"/>
                  <w:vMerge/>
                  <w:tcBorders>
                    <w:top w:val="single" w:color="000000" w:sz="4"/>
                    <w:left w:val="single" w:color="000000" w:sz="4"/>
                    <w:bottom w:val="single" w:color="000000" w:sz="4"/>
                    <w:right w:val="single" w:color="000000" w:sz="4"/>
                  </w:tcBorders>
                </w:tcPr>
                <w:p/>
              </w:tc>
              <w:tc>
                <w:tcPr>
                  <w:tcW w:type="dxa" w:w="886"/>
                  <w:vMerge/>
                  <w:tcBorders>
                    <w:top w:val="single" w:color="000000" w:sz="4"/>
                    <w:left w:val="none" w:color="000000" w:sz="4"/>
                    <w:bottom w:val="singl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长（</w:t>
                  </w:r>
                  <w:r>
                    <w:rPr>
                      <w:sz w:val="20"/>
                      <w:b/>
                      <w:color w:val="000000"/>
                    </w:rPr>
                    <w:t>m）</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宽（</w:t>
                  </w:r>
                  <w:r>
                    <w:rPr>
                      <w:sz w:val="20"/>
                      <w:b/>
                      <w:color w:val="000000"/>
                    </w:rPr>
                    <w:t>m）</w:t>
                  </w:r>
                </w:p>
              </w:tc>
              <w:tc>
                <w:tcPr>
                  <w:tcW w:type="dxa" w:w="470"/>
                  <w:vMerge/>
                  <w:tcBorders>
                    <w:top w:val="single" w:color="000000" w:sz="4"/>
                    <w:left w:val="non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c>
                <w:tcPr>
                  <w:tcW w:type="dxa" w:w="678"/>
                  <w:vMerge/>
                  <w:tcBorders>
                    <w:top w:val="single" w:color="000000" w:sz="4"/>
                    <w:left w:val="none" w:color="000000" w:sz="4"/>
                    <w:bottom w:val="single" w:color="000000" w:sz="4"/>
                    <w:right w:val="single" w:color="000000" w:sz="4"/>
                  </w:tcBorders>
                </w:tcPr>
                <w:p/>
              </w:tc>
              <w:tc>
                <w:tcPr>
                  <w:tcW w:type="dxa" w:w="1310"/>
                  <w:vMerge/>
                  <w:tcBorders>
                    <w:top w:val="single" w:color="000000" w:sz="4"/>
                    <w:left w:val="none" w:color="000000" w:sz="4"/>
                    <w:bottom w:val="single" w:color="000000" w:sz="4"/>
                    <w:right w:val="single" w:color="000000" w:sz="4"/>
                  </w:tcBorders>
                </w:tcPr>
                <w:p/>
              </w:tc>
              <w:tc>
                <w:tcPr>
                  <w:tcW w:type="dxa" w:w="994"/>
                  <w:vMerge/>
                  <w:tcBorders>
                    <w:top w:val="single" w:color="000000" w:sz="4"/>
                    <w:left w:val="non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大长陇村作业量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.作业频率：每天一班，每班一扫，8小时路面保洁。保持每天整洁</w:t>
                  </w:r>
                  <w:r>
                    <w:br/>
                  </w:r>
                  <w:r>
                    <w:rPr>
                      <w:sz w:val="20"/>
                      <w:color w:val="000000"/>
                    </w:rPr>
                    <w:t>2.作业道路所属路段：属于商业网点较少的路段；居民区和单位相间的路段；城郊结合部的主要交通路段；人流量、车流量一般的路段。</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长泰路普宁大道交界至黄厝围</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15170.8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4869826.80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水库沟长盛路至长龙</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5830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1871430.00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大长陇中学后中河路至双坟普宁大道</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2439600.00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东门市场至新寨仔</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783882.00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军老村作业量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军老东兴一路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1865.6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598857.60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新桥头至普宁大道</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852</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6816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2187936.00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宝塔区至三坛村</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4074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1307754.00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军新村作业量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军新学校至供销社</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855144.00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军新永安西路至军新桥头</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217156.50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笔架山村作业量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笔架山村道至善德观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1235850.00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新厝村作业量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.作业频率：每天一班，每班一扫，8小时路面保洁。保持每天整洁</w:t>
                  </w:r>
                  <w:r>
                    <w:br/>
                  </w:r>
                  <w:r>
                    <w:rPr>
                      <w:sz w:val="20"/>
                      <w:color w:val="000000"/>
                    </w:rPr>
                    <w:t>2.作业道路所属路段：属于商业网点较少的路段；居民区和单位相间的路段；城郊结合部的主要交通路段；人流量、车流量一般的路段。</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寨前路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809.6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259881.60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普宁大道路口至人工湿地</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613752.00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三坛村作业量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三坛桥头至普宁大道路口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11340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3640140.00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树脚村作业量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三坛交界至树新段</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3033450.00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树老经树脚学校至福德老爷庙</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2311200.00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黄厝围至树脚大圆</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704434.50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何厝围村作业量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东兴路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6150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1974150.00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东兴路口至树老村</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1688.5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542008.50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河西路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4340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1393140.00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莲坛村作业量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莲坛雷伊路口到建新路口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1078560.00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军石路（丰美路口至安田学校路口）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4943400.00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莲坛中学路口至沙堆路口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3852000.00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上园三片路至军石路口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2086500.00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石桥头村作业量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.作业频率：每天一班，每班一扫，8小时路面保洁。保持每天整洁</w:t>
                  </w:r>
                  <w:r>
                    <w:br/>
                  </w:r>
                  <w:r>
                    <w:rPr>
                      <w:sz w:val="20"/>
                      <w:color w:val="000000"/>
                    </w:rPr>
                    <w:t>2.作业道路所属路段：属于商业网点较少的路段；居民区和单位相间的路段；城郊结合部的主要交通路段；人流量、车流量一般的路段。</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四知门至安田学校路口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968</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6776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2175096.00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中兴南至广汕路口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2696400.00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瑞兴路至瑞德路广汕路口</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3145800.00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石桥头村村民委员会至丁州别墅</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941493.00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污水厂路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803142.00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陇头后楼村作业量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占汤公路后坛至华南学校</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2086500.00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培智幼儿园至浮洋交界</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402855.00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伯公脚至志忠彩印有限责任公司</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740</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1662780.00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陇头浮洋村作业量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工业路北路（鸭街）</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626592.00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浮洋小学经过浮洋村址至占陇</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5376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1725696.00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陇头中学至东门市场</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6409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2057289.00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陇头新南村作业量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新南村址路至军埠公路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1605000.00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新南村址至新厝顶</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385200.00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陇头山家村作业量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.作业频率：每天一班，每班一扫，8小时路面保洁。保持每天整洁</w:t>
                  </w:r>
                  <w:r>
                    <w:br/>
                  </w:r>
                  <w:r>
                    <w:rPr>
                      <w:sz w:val="20"/>
                      <w:color w:val="000000"/>
                    </w:rPr>
                    <w:t>2.作业道路所属路段：属于商业网点较少的路段；居民区和单位相间的路段；城郊结合部的主要交通路段；人流量、车流量一般的路段。</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占麒路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734</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7340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2356140.00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阳光花园至军埠公路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263220.00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珠密琪路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423720.00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清扫面积按路边缘向路面中心延伸</w:t>
                  </w:r>
                  <w:r>
                    <w:rPr>
                      <w:sz w:val="20"/>
                      <w:color w:val="000000"/>
                    </w:rPr>
                    <w:t>2m宽度全面积计算，剩余车行道路面的面积按60%折算。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陇头东桂村作业量</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新桂路</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2234160.00</w:t>
                  </w:r>
                </w:p>
              </w:tc>
              <w:tc>
                <w:tcPr>
                  <w:tcW w:type="dxa" w:w="1310"/>
                  <w:vMerge/>
                  <w:tcBorders>
                    <w:top w:val="none" w:color="000000" w:sz="4"/>
                    <w:left w:val="none" w:color="000000" w:sz="4"/>
                    <w:bottom w:val="none" w:color="000000" w:sz="4"/>
                    <w:right w:val="single" w:color="000000" w:sz="4"/>
                  </w:tcBorders>
                </w:tcP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tc>
        <w:tc>
          <w:tcPr>
            <w:tcW w:type="dxa" w:w="415"/>
          </w:tcPr>
          <w:p>
            <w:pPr>
              <w:pStyle w:val="null3"/>
            </w:pPr>
            <w:r>
              <w:rPr/>
              <w:t>2</w:t>
            </w:r>
          </w:p>
        </w:tc>
        <w:tc>
          <w:tcPr>
            <w:tcW w:type="dxa" w:w="5814"/>
          </w:tcPr>
          <w:p>
            <w:pPr>
              <w:pStyle w:val="null3"/>
              <w:numPr>
                <w:ilvl w:val="0"/>
                <w:numId w:val="1"/>
              </w:numPr>
              <w:jc w:val="left"/>
            </w:pPr>
            <w:r>
              <w:rPr>
                <w:sz w:val="28"/>
              </w:rPr>
              <w:t>岸边人工打捞作业量表</w:t>
            </w:r>
          </w:p>
          <w:tbl>
            <w:tblPr>
              <w:tblInd w:type="dxa" w:w="45"/>
              <w:tblBorders>
                <w:top w:val="none" w:color="000000" w:sz="4"/>
                <w:left w:val="none" w:color="000000" w:sz="4"/>
                <w:bottom w:val="none" w:color="000000" w:sz="4"/>
                <w:right w:val="none" w:color="000000" w:sz="4"/>
                <w:insideH w:val="none"/>
                <w:insideV w:val="none"/>
              </w:tblBorders>
            </w:tblPr>
            <w:tblGrid>
              <w:gridCol w:w="237"/>
              <w:gridCol w:w="1203"/>
              <w:gridCol w:w="567"/>
              <w:gridCol w:w="452"/>
              <w:gridCol w:w="498"/>
              <w:gridCol w:w="636"/>
              <w:gridCol w:w="1487"/>
              <w:gridCol w:w="490"/>
            </w:tblGrid>
            <w:tr>
              <w:tc>
                <w:tcPr>
                  <w:tcW w:type="dxa" w:w="2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2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服务范围</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水沟长度</w:t>
                  </w:r>
                </w:p>
              </w:tc>
              <w:tc>
                <w:tcPr>
                  <w:tcW w:type="dxa" w:w="4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日作业数量</w:t>
                  </w:r>
                </w:p>
                <w:p>
                  <w:pPr>
                    <w:pStyle w:val="null3"/>
                    <w:jc w:val="center"/>
                  </w:pPr>
                  <w:r>
                    <w:rPr>
                      <w:sz w:val="20"/>
                      <w:b/>
                      <w:color w:val="000000"/>
                    </w:rPr>
                    <w:t>（</w:t>
                  </w:r>
                  <w:r>
                    <w:rPr>
                      <w:sz w:val="20"/>
                      <w:b/>
                      <w:color w:val="000000"/>
                    </w:rPr>
                    <w:t>m）</w:t>
                  </w:r>
                </w:p>
              </w:tc>
              <w:tc>
                <w:tcPr>
                  <w:tcW w:type="dxa" w:w="4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年作业天数</w:t>
                  </w:r>
                </w:p>
              </w:tc>
              <w:tc>
                <w:tcPr>
                  <w:tcW w:type="dxa" w:w="6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年作业量</w:t>
                  </w:r>
                  <w:r>
                    <w:br/>
                  </w:r>
                  <w:r>
                    <w:rPr>
                      <w:sz w:val="20"/>
                      <w:b/>
                      <w:color w:val="000000"/>
                    </w:rPr>
                    <w:t>（</w:t>
                  </w:r>
                  <w:r>
                    <w:rPr>
                      <w:sz w:val="20"/>
                      <w:b/>
                      <w:color w:val="000000"/>
                    </w:rPr>
                    <w:t>m）</w:t>
                  </w:r>
                </w:p>
              </w:tc>
              <w:tc>
                <w:tcPr>
                  <w:tcW w:type="dxa" w:w="14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服务内容</w:t>
                  </w:r>
                </w:p>
              </w:tc>
              <w:tc>
                <w:tcPr>
                  <w:tcW w:type="dxa" w:w="4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37"/>
                  <w:vMerge/>
                  <w:tcBorders>
                    <w:top w:val="single" w:color="000000" w:sz="4"/>
                    <w:left w:val="single" w:color="000000" w:sz="4"/>
                    <w:bottom w:val="single" w:color="000000" w:sz="4"/>
                    <w:right w:val="single" w:color="000000" w:sz="4"/>
                  </w:tcBorders>
                </w:tcPr>
                <w:p/>
              </w:tc>
              <w:tc>
                <w:tcPr>
                  <w:tcW w:type="dxa" w:w="1203"/>
                  <w:vMerge/>
                  <w:tcBorders>
                    <w:top w:val="singl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长（</w:t>
                  </w:r>
                  <w:r>
                    <w:rPr>
                      <w:sz w:val="20"/>
                      <w:b/>
                      <w:color w:val="000000"/>
                    </w:rPr>
                    <w:t>m）</w:t>
                  </w:r>
                </w:p>
              </w:tc>
              <w:tc>
                <w:tcPr>
                  <w:tcW w:type="dxa" w:w="452"/>
                  <w:vMerge/>
                  <w:tcBorders>
                    <w:top w:val="single" w:color="000000" w:sz="4"/>
                    <w:left w:val="none" w:color="000000" w:sz="4"/>
                    <w:bottom w:val="single" w:color="000000" w:sz="4"/>
                    <w:right w:val="single" w:color="000000" w:sz="4"/>
                  </w:tcBorders>
                </w:tcPr>
                <w:p/>
              </w:tc>
              <w:tc>
                <w:tcPr>
                  <w:tcW w:type="dxa" w:w="498"/>
                  <w:vMerge/>
                  <w:tcBorders>
                    <w:top w:val="single" w:color="000000" w:sz="4"/>
                    <w:left w:val="none" w:color="000000" w:sz="4"/>
                    <w:bottom w:val="single" w:color="000000" w:sz="4"/>
                    <w:right w:val="single" w:color="000000" w:sz="4"/>
                  </w:tcBorders>
                </w:tcPr>
                <w:p/>
              </w:tc>
              <w:tc>
                <w:tcPr>
                  <w:tcW w:type="dxa" w:w="636"/>
                  <w:vMerge/>
                  <w:tcBorders>
                    <w:top w:val="single" w:color="000000" w:sz="4"/>
                    <w:left w:val="none" w:color="000000" w:sz="4"/>
                    <w:bottom w:val="single" w:color="000000" w:sz="4"/>
                    <w:right w:val="single" w:color="000000" w:sz="4"/>
                  </w:tcBorders>
                </w:tcPr>
                <w:p/>
              </w:tc>
              <w:tc>
                <w:tcPr>
                  <w:tcW w:type="dxa" w:w="1487"/>
                  <w:vMerge/>
                  <w:tcBorders>
                    <w:top w:val="single" w:color="000000" w:sz="4"/>
                    <w:left w:val="none" w:color="000000" w:sz="4"/>
                    <w:bottom w:val="single" w:color="000000" w:sz="4"/>
                    <w:right w:val="single" w:color="000000" w:sz="4"/>
                  </w:tcBorders>
                </w:tcPr>
                <w:p/>
              </w:tc>
              <w:tc>
                <w:tcPr>
                  <w:tcW w:type="dxa" w:w="490"/>
                  <w:vMerge/>
                  <w:tcBorders>
                    <w:top w:val="single" w:color="000000" w:sz="4"/>
                    <w:left w:val="non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大长陇村作业量</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color w:val="000000"/>
                    </w:rPr>
                    <w:t>作业频率：每三天打捞一次，每班</w:t>
                  </w:r>
                  <w:r>
                    <w:rPr>
                      <w:sz w:val="20"/>
                      <w:color w:val="000000"/>
                    </w:rPr>
                    <w:t>8小时，</w:t>
                  </w:r>
                </w:p>
                <w:p>
                  <w:pPr>
                    <w:pStyle w:val="null3"/>
                    <w:numPr>
                      <w:ilvl w:val="0"/>
                      <w:numId w:val="1"/>
                    </w:numPr>
                    <w:jc w:val="left"/>
                  </w:pPr>
                  <w:r>
                    <w:rPr>
                      <w:sz w:val="20"/>
                      <w:color w:val="000000"/>
                    </w:rPr>
                    <w:t>作业内容：巡查、及时打捞垃圾。保持每天无垃圾漂浮。</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长泰路普宁大道交界至黄厝围</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4462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1432302.00</w:t>
                  </w:r>
                </w:p>
              </w:tc>
              <w:tc>
                <w:tcPr>
                  <w:tcW w:type="dxa" w:w="1487"/>
                  <w:vMerge/>
                  <w:tcBorders>
                    <w:top w:val="none" w:color="000000" w:sz="4"/>
                    <w:left w:val="none" w:color="000000" w:sz="4"/>
                    <w:bottom w:val="none" w:color="000000" w:sz="4"/>
                    <w:right w:val="single" w:color="000000" w:sz="4"/>
                  </w:tcBorders>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两侧</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大长陇中学后中河路至双坟普宁大道</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321000.00</w:t>
                  </w:r>
                </w:p>
              </w:tc>
              <w:tc>
                <w:tcPr>
                  <w:tcW w:type="dxa" w:w="1487"/>
                  <w:vMerge/>
                  <w:tcBorders>
                    <w:top w:val="none" w:color="000000" w:sz="4"/>
                    <w:left w:val="none" w:color="000000" w:sz="4"/>
                    <w:bottom w:val="none" w:color="000000" w:sz="4"/>
                    <w:right w:val="single" w:color="000000" w:sz="4"/>
                  </w:tcBorders>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单侧</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石桥头村作业量</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7"/>
                  <w:vMerge/>
                  <w:tcBorders>
                    <w:top w:val="none" w:color="000000" w:sz="4"/>
                    <w:left w:val="none" w:color="000000" w:sz="4"/>
                    <w:bottom w:val="none" w:color="000000" w:sz="4"/>
                    <w:right w:val="single" w:color="000000" w:sz="4"/>
                  </w:tcBorders>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四知门至安田学校路口</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968</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968</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310728.00</w:t>
                  </w:r>
                </w:p>
              </w:tc>
              <w:tc>
                <w:tcPr>
                  <w:tcW w:type="dxa" w:w="1487"/>
                  <w:vMerge/>
                  <w:tcBorders>
                    <w:top w:val="none" w:color="000000" w:sz="4"/>
                    <w:left w:val="none" w:color="000000" w:sz="4"/>
                    <w:bottom w:val="none" w:color="000000" w:sz="4"/>
                    <w:right w:val="single" w:color="000000" w:sz="4"/>
                  </w:tcBorders>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单侧</w:t>
                  </w:r>
                </w:p>
              </w:tc>
            </w:tr>
          </w:tbl>
          <w:p>
            <w:pPr>
              <w:pStyle w:val="null3"/>
            </w:pPr>
            <w:r>
              <w:rPr>
                <w:sz w:val="24"/>
                <w:b/>
              </w:rPr>
              <w:t>备注：服务周期为一年（</w:t>
            </w:r>
            <w:r>
              <w:rPr>
                <w:sz w:val="24"/>
                <w:b/>
              </w:rPr>
              <w:t>365个日历天）。</w:t>
            </w:r>
          </w:p>
        </w:tc>
      </w:tr>
      <w:tr>
        <w:tc>
          <w:tcPr>
            <w:tcW w:type="dxa" w:w="2076"/>
          </w:tcPr>
          <w:p/>
        </w:tc>
        <w:tc>
          <w:tcPr>
            <w:tcW w:type="dxa" w:w="415"/>
          </w:tcPr>
          <w:p>
            <w:pPr>
              <w:pStyle w:val="null3"/>
            </w:pPr>
            <w:r>
              <w:rPr/>
              <w:t>3</w:t>
            </w:r>
          </w:p>
        </w:tc>
        <w:tc>
          <w:tcPr>
            <w:tcW w:type="dxa" w:w="5814"/>
          </w:tcPr>
          <w:p>
            <w:pPr>
              <w:pStyle w:val="null3"/>
              <w:numPr>
                <w:ilvl w:val="0"/>
                <w:numId w:val="1"/>
              </w:numPr>
              <w:jc w:val="left"/>
            </w:pPr>
            <w:r>
              <w:rPr>
                <w:sz w:val="28"/>
                <w:b/>
              </w:rPr>
              <w:t>清扫保洁服务要求</w:t>
            </w:r>
          </w:p>
          <w:p>
            <w:pPr>
              <w:pStyle w:val="null3"/>
            </w:pPr>
            <w:r>
              <w:rPr>
                <w:sz w:val="28"/>
              </w:rPr>
              <w:t>路面的清扫保洁每天一班，每班一扫，</w:t>
            </w:r>
            <w:r>
              <w:rPr>
                <w:sz w:val="28"/>
              </w:rPr>
              <w:t>需</w:t>
            </w:r>
            <w:r>
              <w:rPr>
                <w:sz w:val="28"/>
              </w:rPr>
              <w:t>保持每天</w:t>
            </w:r>
            <w:r>
              <w:rPr>
                <w:sz w:val="28"/>
              </w:rPr>
              <w:t>道路</w:t>
            </w:r>
            <w:r>
              <w:rPr>
                <w:sz w:val="28"/>
              </w:rPr>
              <w:t>整洁</w:t>
            </w:r>
            <w:r>
              <w:rPr>
                <w:sz w:val="28"/>
              </w:rPr>
              <w:t>，</w:t>
            </w:r>
            <w:r>
              <w:rPr>
                <w:sz w:val="28"/>
              </w:rPr>
              <w:t>垃圾日产日清</w:t>
            </w:r>
            <w:r>
              <w:rPr>
                <w:sz w:val="28"/>
              </w:rPr>
              <w:t>；</w:t>
            </w:r>
            <w:r>
              <w:rPr>
                <w:sz w:val="28"/>
              </w:rPr>
              <w:t>岸边人工清除打捞水域漂浮物及岸边垃圾，每三天打捞一次</w:t>
            </w:r>
            <w:r>
              <w:rPr>
                <w:sz w:val="28"/>
              </w:rPr>
              <w:t>。</w:t>
            </w:r>
          </w:p>
        </w:tc>
      </w:tr>
      <w:tr>
        <w:tc>
          <w:tcPr>
            <w:tcW w:type="dxa" w:w="2076"/>
          </w:tcPr>
          <w:p/>
        </w:tc>
        <w:tc>
          <w:tcPr>
            <w:tcW w:type="dxa" w:w="415"/>
          </w:tcPr>
          <w:p>
            <w:pPr>
              <w:pStyle w:val="null3"/>
            </w:pPr>
            <w:r>
              <w:rPr/>
              <w:t>4</w:t>
            </w:r>
          </w:p>
        </w:tc>
        <w:tc>
          <w:tcPr>
            <w:tcW w:type="dxa" w:w="5814"/>
          </w:tcPr>
          <w:p>
            <w:pPr>
              <w:pStyle w:val="null3"/>
              <w:numPr>
                <w:ilvl w:val="0"/>
                <w:numId w:val="1"/>
              </w:numPr>
              <w:jc w:val="left"/>
            </w:pPr>
            <w:r>
              <w:rPr>
                <w:sz w:val="28"/>
                <w:b/>
              </w:rPr>
              <w:t>质量要求及清扫、保洁作业时间</w:t>
            </w:r>
          </w:p>
          <w:p>
            <w:pPr>
              <w:pStyle w:val="null3"/>
              <w:ind w:firstLine="560"/>
              <w:jc w:val="left"/>
            </w:pPr>
            <w:r>
              <w:rPr>
                <w:sz w:val="28"/>
              </w:rPr>
              <w:t>承包范围内的清扫保洁、垃圾清运作业要求和质量除应达到《城市道路清扫保洁质量与评价标准》、《城市环境卫生质量规范》及其它检评标准要求外，还要符合如下作业要求</w:t>
            </w:r>
            <w:r>
              <w:rPr>
                <w:sz w:val="28"/>
              </w:rPr>
              <w:t>：</w:t>
            </w:r>
          </w:p>
          <w:p>
            <w:pPr>
              <w:pStyle w:val="null3"/>
              <w:ind w:firstLine="560"/>
              <w:jc w:val="left"/>
            </w:pPr>
            <w:r>
              <w:rPr>
                <w:sz w:val="28"/>
              </w:rPr>
              <w:t>1</w:t>
            </w:r>
            <w:r>
              <w:rPr>
                <w:sz w:val="28"/>
              </w:rPr>
              <w:t>．</w:t>
            </w:r>
            <w:r>
              <w:rPr>
                <w:sz w:val="28"/>
              </w:rPr>
              <w:t>道路清扫服务作业要求：</w:t>
            </w:r>
          </w:p>
          <w:p>
            <w:pPr>
              <w:pStyle w:val="null3"/>
              <w:ind w:firstLine="560"/>
              <w:jc w:val="left"/>
            </w:pPr>
            <w:r>
              <w:rPr>
                <w:sz w:val="28"/>
              </w:rPr>
              <w:t>（</w:t>
            </w:r>
            <w:r>
              <w:rPr>
                <w:sz w:val="28"/>
              </w:rPr>
              <w:t>1）</w:t>
            </w:r>
            <w:r>
              <w:rPr>
                <w:sz w:val="28"/>
              </w:rPr>
              <w:t>必须保证</w:t>
            </w:r>
            <w:r>
              <w:rPr>
                <w:sz w:val="28"/>
              </w:rPr>
              <w:t>道路</w:t>
            </w:r>
            <w:r>
              <w:rPr>
                <w:sz w:val="28"/>
              </w:rPr>
              <w:t>清扫保洁</w:t>
            </w:r>
            <w:r>
              <w:rPr>
                <w:sz w:val="28"/>
              </w:rPr>
              <w:t>一</w:t>
            </w:r>
            <w:r>
              <w:rPr>
                <w:sz w:val="28"/>
              </w:rPr>
              <w:t>天一扫，当天至少一次，</w:t>
            </w:r>
            <w:r>
              <w:rPr>
                <w:sz w:val="28"/>
              </w:rPr>
              <w:t>需</w:t>
            </w:r>
            <w:r>
              <w:rPr>
                <w:sz w:val="28"/>
              </w:rPr>
              <w:t>保持每天</w:t>
            </w:r>
            <w:r>
              <w:rPr>
                <w:sz w:val="28"/>
              </w:rPr>
              <w:t>道路</w:t>
            </w:r>
            <w:r>
              <w:rPr>
                <w:sz w:val="28"/>
              </w:rPr>
              <w:t>整洁</w:t>
            </w:r>
            <w:r>
              <w:rPr>
                <w:sz w:val="28"/>
              </w:rPr>
              <w:t>，</w:t>
            </w:r>
            <w:r>
              <w:rPr>
                <w:sz w:val="28"/>
              </w:rPr>
              <w:t>从早上</w:t>
            </w:r>
            <w:r>
              <w:rPr>
                <w:sz w:val="28"/>
              </w:rPr>
              <w:t>6点至晚上6点期间进行</w:t>
            </w:r>
            <w:r>
              <w:rPr>
                <w:sz w:val="28"/>
              </w:rPr>
              <w:t>清扫</w:t>
            </w:r>
            <w:r>
              <w:rPr>
                <w:sz w:val="28"/>
              </w:rPr>
              <w:t>保洁。</w:t>
            </w:r>
          </w:p>
          <w:p>
            <w:pPr>
              <w:pStyle w:val="null3"/>
              <w:ind w:firstLine="560"/>
              <w:jc w:val="left"/>
            </w:pPr>
            <w:r>
              <w:rPr>
                <w:sz w:val="28"/>
              </w:rPr>
              <w:t>（</w:t>
            </w:r>
            <w:r>
              <w:rPr>
                <w:sz w:val="28"/>
              </w:rPr>
              <w:t>2）</w:t>
            </w:r>
            <w:r>
              <w:rPr>
                <w:sz w:val="28"/>
              </w:rPr>
              <w:t>路面、人行道、路树旁等范围在清扫过程中，必须边清扫边收集垃圾上车，清扫的垃圾不能堆放在路边、路面、人行道，必须做到边扫边运走。</w:t>
            </w:r>
          </w:p>
          <w:p>
            <w:pPr>
              <w:pStyle w:val="null3"/>
              <w:ind w:firstLine="560"/>
              <w:jc w:val="left"/>
            </w:pPr>
            <w:r>
              <w:rPr>
                <w:sz w:val="28"/>
              </w:rPr>
              <w:t>（</w:t>
            </w:r>
            <w:r>
              <w:rPr>
                <w:sz w:val="28"/>
              </w:rPr>
              <w:t>3）</w:t>
            </w:r>
            <w:r>
              <w:rPr>
                <w:sz w:val="28"/>
              </w:rPr>
              <w:t>保洁过程中，路面和人行道的杂物、果皮、纸屑、烟头等杂物、垃圾，保洁人员必须在</w:t>
            </w:r>
            <w:r>
              <w:rPr>
                <w:sz w:val="28"/>
              </w:rPr>
              <w:t>15分钟内清理干净。</w:t>
            </w:r>
          </w:p>
          <w:p>
            <w:pPr>
              <w:pStyle w:val="null3"/>
              <w:ind w:firstLine="560"/>
              <w:jc w:val="left"/>
            </w:pPr>
            <w:r>
              <w:rPr>
                <w:sz w:val="28"/>
              </w:rPr>
              <w:t>（</w:t>
            </w:r>
            <w:r>
              <w:rPr>
                <w:sz w:val="28"/>
              </w:rPr>
              <w:t>4）</w:t>
            </w:r>
            <w:r>
              <w:rPr>
                <w:sz w:val="28"/>
              </w:rPr>
              <w:t>定点垃圾桶、果皮箱的垃圾要及时清掏清运、保持垃圾不外溢。</w:t>
            </w:r>
          </w:p>
          <w:p>
            <w:pPr>
              <w:pStyle w:val="null3"/>
              <w:ind w:firstLine="560"/>
              <w:jc w:val="left"/>
            </w:pPr>
            <w:r>
              <w:rPr>
                <w:sz w:val="28"/>
              </w:rPr>
              <w:t>（</w:t>
            </w:r>
            <w:r>
              <w:rPr>
                <w:sz w:val="28"/>
              </w:rPr>
              <w:t>5）</w:t>
            </w:r>
            <w:r>
              <w:rPr>
                <w:sz w:val="28"/>
              </w:rPr>
              <w:t>员工清扫、清捡的垃圾须放到指定的垃圾堆放点，每天</w:t>
            </w:r>
            <w:r>
              <w:rPr>
                <w:sz w:val="28"/>
              </w:rPr>
              <w:t>下午</w:t>
            </w:r>
            <w:r>
              <w:rPr>
                <w:sz w:val="28"/>
              </w:rPr>
              <w:t>6</w:t>
            </w:r>
            <w:r>
              <w:rPr>
                <w:sz w:val="28"/>
              </w:rPr>
              <w:t>点前清运至指定垃圾</w:t>
            </w:r>
            <w:r>
              <w:rPr>
                <w:sz w:val="28"/>
              </w:rPr>
              <w:t>转运点</w:t>
            </w:r>
            <w:r>
              <w:rPr>
                <w:sz w:val="28"/>
              </w:rPr>
              <w:t>。</w:t>
            </w:r>
          </w:p>
          <w:p>
            <w:pPr>
              <w:pStyle w:val="null3"/>
              <w:ind w:firstLine="560"/>
              <w:jc w:val="left"/>
            </w:pPr>
            <w:r>
              <w:rPr>
                <w:sz w:val="28"/>
              </w:rPr>
              <w:t>（</w:t>
            </w:r>
            <w:r>
              <w:rPr>
                <w:sz w:val="28"/>
              </w:rPr>
              <w:t>6）</w:t>
            </w:r>
            <w:r>
              <w:rPr>
                <w:sz w:val="28"/>
              </w:rPr>
              <w:t>路面、人行道废弃物数量不应超过下列指标：</w:t>
            </w:r>
          </w:p>
          <w:tbl>
            <w:tblPr>
              <w:tblInd w:type="dxa" w:w="390"/>
              <w:tblBorders>
                <w:top w:val="none" w:color="000000" w:sz="4"/>
                <w:left w:val="none" w:color="000000" w:sz="4"/>
                <w:bottom w:val="none" w:color="000000" w:sz="4"/>
                <w:right w:val="none" w:color="000000" w:sz="4"/>
                <w:insideH w:val="none"/>
                <w:insideV w:val="none"/>
              </w:tblBorders>
            </w:tblPr>
            <w:tblGrid>
              <w:gridCol w:w="954"/>
              <w:gridCol w:w="1040"/>
              <w:gridCol w:w="878"/>
              <w:gridCol w:w="954"/>
              <w:gridCol w:w="878"/>
              <w:gridCol w:w="895"/>
            </w:tblGrid>
            <w:tr>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果皮（片）</w:t>
                  </w:r>
                </w:p>
                <w:p>
                  <w:pPr>
                    <w:pStyle w:val="null3"/>
                    <w:jc w:val="center"/>
                  </w:pPr>
                  <w:r>
                    <w:rPr>
                      <w:sz w:val="20"/>
                      <w:b/>
                      <w:color w:val="000000"/>
                    </w:rPr>
                    <w:t>1000㎡</w:t>
                  </w: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纸屑、塑料</w:t>
                  </w:r>
                </w:p>
                <w:p>
                  <w:pPr>
                    <w:pStyle w:val="null3"/>
                    <w:jc w:val="center"/>
                  </w:pPr>
                  <w:r>
                    <w:rPr>
                      <w:sz w:val="20"/>
                      <w:b/>
                      <w:color w:val="000000"/>
                    </w:rPr>
                    <w:t>1000㎡</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烟蒂（个）</w:t>
                  </w:r>
                </w:p>
                <w:p>
                  <w:pPr>
                    <w:pStyle w:val="null3"/>
                    <w:jc w:val="center"/>
                  </w:pPr>
                  <w:r>
                    <w:rPr>
                      <w:sz w:val="20"/>
                      <w:b/>
                      <w:color w:val="000000"/>
                    </w:rPr>
                    <w:t>1000㎡</w:t>
                  </w:r>
                </w:p>
              </w:tc>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痰迹（处）</w:t>
                  </w:r>
                </w:p>
                <w:p>
                  <w:pPr>
                    <w:pStyle w:val="null3"/>
                    <w:jc w:val="center"/>
                  </w:pPr>
                  <w:r>
                    <w:rPr>
                      <w:sz w:val="20"/>
                      <w:b/>
                      <w:color w:val="000000"/>
                    </w:rPr>
                    <w:t>1000㎡</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污水</w:t>
                  </w:r>
                </w:p>
                <w:p>
                  <w:pPr>
                    <w:pStyle w:val="null3"/>
                    <w:jc w:val="center"/>
                  </w:pPr>
                  <w:r>
                    <w:rPr>
                      <w:sz w:val="20"/>
                      <w:b/>
                      <w:color w:val="000000"/>
                    </w:rPr>
                    <w:t>1000㎡</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其它（处）</w:t>
                  </w:r>
                </w:p>
                <w:p>
                  <w:pPr>
                    <w:pStyle w:val="null3"/>
                    <w:jc w:val="center"/>
                  </w:pPr>
                  <w:r>
                    <w:rPr>
                      <w:sz w:val="20"/>
                      <w:b/>
                      <w:color w:val="000000"/>
                    </w:rPr>
                    <w:t>1000㎡</w:t>
                  </w:r>
                </w:p>
              </w:tc>
            </w:tr>
            <w:tr>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bl>
          <w:p>
            <w:pPr>
              <w:pStyle w:val="null3"/>
              <w:ind w:firstLine="560"/>
              <w:jc w:val="left"/>
            </w:pPr>
            <w:r>
              <w:rPr>
                <w:sz w:val="28"/>
              </w:rPr>
              <w:t>（</w:t>
            </w:r>
            <w:r>
              <w:rPr>
                <w:sz w:val="28"/>
              </w:rPr>
              <w:t>7）</w:t>
            </w:r>
            <w:r>
              <w:rPr>
                <w:sz w:val="28"/>
              </w:rPr>
              <w:t>承包</w:t>
            </w:r>
            <w:r>
              <w:rPr>
                <w:sz w:val="28"/>
              </w:rPr>
              <w:t>人根据清运、清扫保洁区域的大小，须保证必需</w:t>
            </w:r>
            <w:r>
              <w:rPr>
                <w:sz w:val="28"/>
              </w:rPr>
              <w:t>的</w:t>
            </w:r>
            <w:r>
              <w:rPr>
                <w:sz w:val="28"/>
              </w:rPr>
              <w:t>工具及人员，确保任务完成。</w:t>
            </w:r>
          </w:p>
          <w:p>
            <w:pPr>
              <w:pStyle w:val="null3"/>
            </w:pPr>
            <w:r>
              <w:rPr>
                <w:sz w:val="28"/>
              </w:rPr>
              <w:t>（</w:t>
            </w:r>
            <w:r>
              <w:rPr>
                <w:sz w:val="28"/>
              </w:rPr>
              <w:t>8）</w:t>
            </w:r>
            <w:r>
              <w:rPr>
                <w:sz w:val="28"/>
              </w:rPr>
              <w:t>在重大节日、主要活动期间和道路整修后清洁及台风、水浸等意外及业主有重大工作任务或突击性任务时，</w:t>
            </w:r>
            <w:r>
              <w:rPr>
                <w:sz w:val="28"/>
              </w:rPr>
              <w:t>承包</w:t>
            </w:r>
            <w:r>
              <w:rPr>
                <w:sz w:val="28"/>
              </w:rPr>
              <w:t>人应及时配合业主提出的临时性要求，但承包经费不另增加。</w:t>
            </w:r>
          </w:p>
        </w:tc>
      </w:tr>
      <w:tr>
        <w:tc>
          <w:tcPr>
            <w:tcW w:type="dxa" w:w="2076"/>
          </w:tcPr>
          <w:p/>
        </w:tc>
        <w:tc>
          <w:tcPr>
            <w:tcW w:type="dxa" w:w="415"/>
          </w:tcPr>
          <w:p>
            <w:pPr>
              <w:pStyle w:val="null3"/>
            </w:pPr>
            <w:r>
              <w:rPr/>
              <w:t>5</w:t>
            </w:r>
          </w:p>
        </w:tc>
        <w:tc>
          <w:tcPr>
            <w:tcW w:type="dxa" w:w="5814"/>
          </w:tcPr>
          <w:p>
            <w:pPr>
              <w:pStyle w:val="null3"/>
              <w:numPr>
                <w:ilvl w:val="0"/>
                <w:numId w:val="1"/>
              </w:numPr>
              <w:jc w:val="left"/>
            </w:pPr>
            <w:r>
              <w:rPr>
                <w:sz w:val="28"/>
                <w:b/>
              </w:rPr>
              <w:t>作业</w:t>
            </w:r>
            <w:r>
              <w:rPr>
                <w:sz w:val="28"/>
                <w:b/>
              </w:rPr>
              <w:t>服务</w:t>
            </w:r>
            <w:r>
              <w:rPr>
                <w:sz w:val="28"/>
                <w:b/>
              </w:rPr>
              <w:t>要求</w:t>
            </w:r>
          </w:p>
          <w:p>
            <w:pPr>
              <w:pStyle w:val="null3"/>
              <w:numPr>
                <w:ilvl w:val="0"/>
                <w:numId w:val="1"/>
              </w:numPr>
              <w:jc w:val="left"/>
            </w:pPr>
            <w:r>
              <w:rPr>
                <w:sz w:val="28"/>
                <w:color w:val="000000"/>
              </w:rPr>
              <w:t>建立并落实责任管理、作业质量要求、应急保障等制度</w:t>
            </w:r>
          </w:p>
          <w:p>
            <w:pPr>
              <w:pStyle w:val="null3"/>
              <w:numPr>
                <w:ilvl w:val="0"/>
                <w:numId w:val="1"/>
              </w:numPr>
              <w:jc w:val="left"/>
            </w:pPr>
            <w:r>
              <w:rPr>
                <w:sz w:val="28"/>
                <w:color w:val="000000"/>
              </w:rPr>
              <w:t>按规定要求配置</w:t>
            </w:r>
            <w:r>
              <w:rPr>
                <w:sz w:val="28"/>
              </w:rPr>
              <w:t>足够的</w:t>
            </w:r>
            <w:r>
              <w:rPr>
                <w:sz w:val="28"/>
                <w:color w:val="000000"/>
              </w:rPr>
              <w:t>保洁作业人员、</w:t>
            </w:r>
            <w:r>
              <w:rPr>
                <w:sz w:val="28"/>
              </w:rPr>
              <w:t>作业车辆和相关作业机具</w:t>
            </w:r>
            <w:r>
              <w:rPr>
                <w:sz w:val="28"/>
              </w:rPr>
              <w:t>；</w:t>
            </w:r>
            <w:r>
              <w:rPr>
                <w:sz w:val="28"/>
              </w:rPr>
              <w:t>自行解决道路清扫、保洁、垃圾装运等工作所需的日常工具和劳保用品；并能根据业主的行业形象要求及规范，保证文明作业，使用行业标志，工作人员穿着行业服装上岗，夜间作业应佩带反光安全标志。</w:t>
            </w:r>
          </w:p>
          <w:p>
            <w:pPr>
              <w:pStyle w:val="null3"/>
              <w:numPr>
                <w:ilvl w:val="0"/>
                <w:numId w:val="1"/>
              </w:numPr>
              <w:jc w:val="left"/>
            </w:pPr>
            <w:r>
              <w:rPr>
                <w:sz w:val="28"/>
              </w:rPr>
              <w:t>按规定要求</w:t>
            </w:r>
            <w:r>
              <w:rPr>
                <w:sz w:val="28"/>
              </w:rPr>
              <w:t>严格遵守道路交通管理规定，不得因作业而造成交通堵塞。</w:t>
            </w:r>
          </w:p>
          <w:p>
            <w:pPr>
              <w:pStyle w:val="null3"/>
              <w:numPr>
                <w:ilvl w:val="0"/>
                <w:numId w:val="1"/>
              </w:numPr>
              <w:jc w:val="left"/>
            </w:pPr>
            <w:r>
              <w:rPr>
                <w:sz w:val="28"/>
              </w:rPr>
              <w:t>作业期间</w:t>
            </w:r>
            <w:r>
              <w:rPr>
                <w:sz w:val="28"/>
                <w:color w:val="000000"/>
              </w:rPr>
              <w:t>落实</w:t>
            </w:r>
            <w:r>
              <w:rPr>
                <w:sz w:val="28"/>
              </w:rPr>
              <w:t>安全管理和劳动管理，</w:t>
            </w:r>
            <w:r>
              <w:rPr>
                <w:sz w:val="28"/>
              </w:rPr>
              <w:t>避免</w:t>
            </w:r>
            <w:r>
              <w:rPr>
                <w:sz w:val="28"/>
              </w:rPr>
              <w:t>发生劳动纠纷、人员伤亡、车辆损失等安全事故。</w:t>
            </w:r>
          </w:p>
          <w:p>
            <w:pPr>
              <w:pStyle w:val="null3"/>
              <w:numPr>
                <w:ilvl w:val="0"/>
                <w:numId w:val="1"/>
              </w:numPr>
              <w:jc w:val="left"/>
            </w:pPr>
            <w:r>
              <w:rPr>
                <w:sz w:val="28"/>
              </w:rPr>
              <w:t>按规定完成清卫保洁和垃圾收集、清运任务。</w:t>
            </w:r>
          </w:p>
          <w:p>
            <w:pPr>
              <w:pStyle w:val="null3"/>
              <w:numPr>
                <w:ilvl w:val="0"/>
                <w:numId w:val="1"/>
              </w:numPr>
              <w:jc w:val="left"/>
            </w:pPr>
            <w:r>
              <w:rPr>
                <w:sz w:val="28"/>
              </w:rPr>
              <w:t>落实作业巡查监督，发现问题及时解决的</w:t>
            </w:r>
            <w:r>
              <w:rPr>
                <w:sz w:val="28"/>
              </w:rPr>
              <w:t>。</w:t>
            </w:r>
          </w:p>
          <w:p>
            <w:pPr>
              <w:pStyle w:val="null3"/>
              <w:numPr>
                <w:ilvl w:val="0"/>
                <w:numId w:val="1"/>
              </w:numPr>
              <w:jc w:val="left"/>
            </w:pPr>
            <w:r>
              <w:rPr>
                <w:sz w:val="28"/>
              </w:rPr>
              <w:t>保洁垃圾及时清除，倾倒在规定地点。不焚烧垃圾、树叶；落叶旺季做到及时清扫，并按指定地点堆放和转运</w:t>
            </w:r>
            <w:r>
              <w:rPr>
                <w:sz w:val="28"/>
              </w:rPr>
              <w:t>。</w:t>
            </w:r>
          </w:p>
          <w:p>
            <w:pPr>
              <w:pStyle w:val="null3"/>
            </w:pPr>
            <w:r>
              <w:rPr>
                <w:sz w:val="28"/>
              </w:rPr>
              <w:t>周边地面整洁，无</w:t>
            </w:r>
            <w:r>
              <w:rPr>
                <w:sz w:val="28"/>
              </w:rPr>
              <w:t>暴露垃圾、垃圾包和污水。</w:t>
            </w:r>
          </w:p>
        </w:tc>
      </w:tr>
      <w:tr>
        <w:tc>
          <w:tcPr>
            <w:tcW w:type="dxa" w:w="2076"/>
          </w:tcPr>
          <w:p/>
        </w:tc>
        <w:tc>
          <w:tcPr>
            <w:tcW w:type="dxa" w:w="415"/>
          </w:tcPr>
          <w:p>
            <w:pPr>
              <w:pStyle w:val="null3"/>
            </w:pPr>
            <w:r>
              <w:rPr/>
              <w:t>6</w:t>
            </w:r>
          </w:p>
        </w:tc>
        <w:tc>
          <w:tcPr>
            <w:tcW w:type="dxa" w:w="5814"/>
          </w:tcPr>
          <w:p>
            <w:pPr>
              <w:pStyle w:val="null3"/>
              <w:numPr>
                <w:ilvl w:val="0"/>
                <w:numId w:val="1"/>
              </w:numPr>
              <w:jc w:val="left"/>
            </w:pPr>
            <w:r>
              <w:rPr>
                <w:sz w:val="28"/>
                <w:b/>
              </w:rPr>
              <w:t>工作人员要求</w:t>
            </w:r>
          </w:p>
          <w:p>
            <w:pPr>
              <w:pStyle w:val="null3"/>
              <w:numPr>
                <w:ilvl w:val="0"/>
                <w:numId w:val="1"/>
              </w:numPr>
              <w:jc w:val="left"/>
            </w:pPr>
            <w:r>
              <w:rPr>
                <w:sz w:val="28"/>
              </w:rPr>
              <w:t>工作人员必须身体健康</w:t>
            </w:r>
            <w:r>
              <w:rPr>
                <w:sz w:val="28"/>
              </w:rPr>
              <w:t>，</w:t>
            </w:r>
            <w:r>
              <w:rPr>
                <w:sz w:val="28"/>
              </w:rPr>
              <w:t>爱岗敬业，吃苦耐劳、遵纪守法</w:t>
            </w:r>
            <w:r>
              <w:rPr>
                <w:sz w:val="28"/>
              </w:rPr>
              <w:t>。</w:t>
            </w:r>
          </w:p>
          <w:p>
            <w:pPr>
              <w:pStyle w:val="null3"/>
              <w:numPr>
                <w:ilvl w:val="0"/>
                <w:numId w:val="1"/>
              </w:numPr>
              <w:jc w:val="left"/>
            </w:pPr>
            <w:r>
              <w:rPr>
                <w:sz w:val="28"/>
              </w:rPr>
              <w:t>工作人员</w:t>
            </w:r>
            <w:r>
              <w:rPr>
                <w:sz w:val="28"/>
              </w:rPr>
              <w:t>需依法依规聘用，</w:t>
            </w:r>
            <w:r>
              <w:rPr>
                <w:sz w:val="28"/>
              </w:rPr>
              <w:t>符合揭阳市政府用工标准。</w:t>
            </w:r>
          </w:p>
          <w:p>
            <w:pPr>
              <w:pStyle w:val="null3"/>
            </w:pPr>
            <w:r>
              <w:rPr>
                <w:sz w:val="28"/>
              </w:rPr>
              <w:t>工作人员作业时严格遵守劳动纪律，遵守安全操作规程，确保安全。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普宁市军埠镇人民政府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和《国家发展改革委办公厅关于招标代理服务费有关问题的通知》（发改办价格[2003]857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；请各投标人在投标文件递交截止时间前按须知前附表规定的金额递交至</w:t>
      </w:r>
      <w:r>
        <w:rPr/>
        <w:t>广东邦晟招标代理有限公司</w:t>
      </w:r>
      <w:r>
        <w:rPr/>
        <w:t>，到账情况以开标时</w:t>
      </w:r>
      <w:r>
        <w:rPr/>
        <w:t>广东邦晟招标代理有限公司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军埠镇人居环境整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广东邦晟招标代理有限公司</w:t>
      </w:r>
      <w:r>
        <w:rPr/>
        <w:t>统一对外发布。</w:t>
      </w:r>
    </w:p>
    <w:p>
      <w:pPr>
        <w:pStyle w:val="null3"/>
        <w:ind w:firstLine="480"/>
      </w:pPr>
      <w:r>
        <w:rPr/>
        <w:t>（2）对</w:t>
      </w:r>
      <w:r>
        <w:rPr/>
        <w:t>广东邦晟招标代理有限公司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采购包1（2026年军埠镇人居环境整治项目）：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采购包1（2026年军埠镇人居环境整治项目）：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采购包1（2026年军埠镇人居环境整治项目）：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采购包1(2026年军埠镇人居环境整治项目):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(14.0分)</w:t>
            </w:r>
          </w:p>
        </w:tc>
        <w:tc>
          <w:tcPr>
            <w:tcW w:type="dxa" w:w="5076"/>
          </w:tcPr>
          <w:p>
            <w:pPr>
              <w:pStyle w:val="null3"/>
              <w:jc w:val="left"/>
            </w:pPr>
            <w:r>
              <w:rPr/>
              <w:t>完全满足或优于采购人需求中技术标准与要求的参数（条款）的得满分；若参数（条款）未响应或不满足，每项负偏离扣1分，扣完为止。</w:t>
            </w:r>
          </w:p>
        </w:tc>
      </w:tr>
      <w:tr>
        <w:tc>
          <w:tcPr>
            <w:tcW w:type="dxa" w:w="922"/>
            <w:gridSpan w:val="2"/>
            <w:vMerge/>
          </w:tcPr>
          <w:p/>
        </w:tc>
        <w:tc>
          <w:tcPr>
            <w:tcW w:type="dxa" w:w="2307"/>
          </w:tcPr>
          <w:p>
            <w:pPr>
              <w:pStyle w:val="null3"/>
              <w:jc w:val="left"/>
            </w:pPr>
            <w:r>
              <w:rPr/>
              <w:t>服务实施方案 (16.0分)</w:t>
            </w:r>
          </w:p>
        </w:tc>
        <w:tc>
          <w:tcPr>
            <w:tcW w:type="dxa" w:w="5076"/>
          </w:tcPr>
          <w:p>
            <w:pPr>
              <w:pStyle w:val="null3"/>
              <w:jc w:val="left"/>
            </w:pPr>
            <w:r>
              <w:rPr/>
              <w:t>根据投标人为本项目编制的服务实施方案（包括服务工作计划、服务承诺、服务响应时间、拟投入设备及管理方法等）的详细具体程度、合理性及可行性进行综合评分： 1、方案详细具体，合理性强，可行性高。得16分； 2、方案详细具体，但合理性及可行性一般。得11分； 3、方案不详细，但合理性及可行性一般。得7分； 4、方案详细，但不合理及没有可行性。得4分； 5、方案不详细，且不合理及没有可行性。得1分； 6、没有编制方案的不得分。</w:t>
            </w:r>
          </w:p>
        </w:tc>
      </w:tr>
      <w:tr>
        <w:tc>
          <w:tcPr>
            <w:tcW w:type="dxa" w:w="922"/>
            <w:gridSpan w:val="2"/>
            <w:vMerge/>
          </w:tcPr>
          <w:p/>
        </w:tc>
        <w:tc>
          <w:tcPr>
            <w:tcW w:type="dxa" w:w="2307"/>
          </w:tcPr>
          <w:p>
            <w:pPr>
              <w:pStyle w:val="null3"/>
              <w:jc w:val="left"/>
            </w:pPr>
            <w:r>
              <w:rPr/>
              <w:t>质量保障措施方案 (15.0分)</w:t>
            </w:r>
          </w:p>
        </w:tc>
        <w:tc>
          <w:tcPr>
            <w:tcW w:type="dxa" w:w="5076"/>
          </w:tcPr>
          <w:p>
            <w:pPr>
              <w:pStyle w:val="null3"/>
              <w:jc w:val="left"/>
            </w:pPr>
            <w:r>
              <w:rPr/>
              <w:t>根据投标人为本项目编制的质量保证措施方案（包括质量控制保证措施、环境保护措施及应急措施等内容）的详细具体程度、合理性及可行性进行综合评分：1、方案详细具体，合理性强，可行性高。得15分； 2、方案详细具体，但合理性及可行性一般。得11分； 3、方案不详细，但合理性及可行性一般。得7分； 4、方案详细，但不合理及没有可行性。得4分； 5、方案不详细，且不合理及没有可行性。得1分； 6、没有编制方案的不得分。</w:t>
            </w:r>
          </w:p>
        </w:tc>
      </w:tr>
      <w:tr>
        <w:tc>
          <w:tcPr>
            <w:tcW w:type="dxa" w:w="922"/>
            <w:gridSpan w:val="2"/>
            <w:vMerge/>
          </w:tcPr>
          <w:p/>
        </w:tc>
        <w:tc>
          <w:tcPr>
            <w:tcW w:type="dxa" w:w="2307"/>
          </w:tcPr>
          <w:p>
            <w:pPr>
              <w:pStyle w:val="null3"/>
              <w:jc w:val="left"/>
            </w:pPr>
            <w:r>
              <w:rPr/>
              <w:t>项目了解程度及重点难点研判 (15.0分)</w:t>
            </w:r>
          </w:p>
        </w:tc>
        <w:tc>
          <w:tcPr>
            <w:tcW w:type="dxa" w:w="5076"/>
          </w:tcPr>
          <w:p>
            <w:pPr>
              <w:pStyle w:val="null3"/>
              <w:jc w:val="left"/>
            </w:pPr>
            <w:r>
              <w:rPr/>
              <w:t>根据投标人对本项目环境了解程度及项目技术关键节点和主要重难点分析情况进行评分： 1、对项目环境了解透彻，项目技术关键节点和主要重难点分析透彻的，得15分； 2、对项目环境了解充分，项目技术关键节点和主要重难点分析一般的，得11分； 3、对项目环境了解不充分，项目技术关键节点和主要重难点分析一般的，得7分； 4、对项目环境了解不充分，项目技术关键节点和主要重难点没有分析的，得4分； 5、对项目环境不了解，项目技术关键节点和主要重难点没有分析的，得1分；6、没有编制方案的不得分。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(10.0分)</w:t>
            </w:r>
          </w:p>
        </w:tc>
        <w:tc>
          <w:tcPr>
            <w:tcW w:type="dxa" w:w="5076"/>
          </w:tcPr>
          <w:p>
            <w:pPr>
              <w:pStyle w:val="null3"/>
              <w:jc w:val="left"/>
            </w:pPr>
            <w:r>
              <w:rPr/>
              <w:t>完全满足或优于采购人需求中商务要求的参数（条款）的得满分；若参数（条款）未响应或不满足，每项负偏离扣 2分，扣完为止。</w:t>
            </w:r>
          </w:p>
        </w:tc>
      </w:tr>
      <w:tr>
        <w:tc>
          <w:tcPr>
            <w:tcW w:type="dxa" w:w="922"/>
            <w:gridSpan w:val="2"/>
            <w:vMerge/>
          </w:tcPr>
          <w:p/>
        </w:tc>
        <w:tc>
          <w:tcPr>
            <w:tcW w:type="dxa" w:w="2307"/>
          </w:tcPr>
          <w:p>
            <w:pPr>
              <w:pStyle w:val="null3"/>
              <w:jc w:val="left"/>
            </w:pPr>
            <w:r>
              <w:rPr/>
              <w:t>项目经验 (4.0分)</w:t>
            </w:r>
          </w:p>
        </w:tc>
        <w:tc>
          <w:tcPr>
            <w:tcW w:type="dxa" w:w="5076"/>
          </w:tcPr>
          <w:p>
            <w:pPr>
              <w:pStyle w:val="null3"/>
              <w:jc w:val="left"/>
            </w:pPr>
            <w:r>
              <w:rPr/>
              <w:t>自2021年至今投标人独立承担过同类项目服务经验的得4分。 注：须提供相关的中标通知书或合同复印件，否则不得分。</w:t>
            </w:r>
          </w:p>
        </w:tc>
      </w:tr>
      <w:tr>
        <w:tc>
          <w:tcPr>
            <w:tcW w:type="dxa" w:w="922"/>
            <w:gridSpan w:val="2"/>
            <w:vMerge/>
          </w:tcPr>
          <w:p/>
        </w:tc>
        <w:tc>
          <w:tcPr>
            <w:tcW w:type="dxa" w:w="2307"/>
          </w:tcPr>
          <w:p>
            <w:pPr>
              <w:pStyle w:val="null3"/>
              <w:jc w:val="left"/>
            </w:pPr>
            <w:r>
              <w:rPr/>
              <w:t>拟投入设备 (6.0分)</w:t>
            </w:r>
          </w:p>
        </w:tc>
        <w:tc>
          <w:tcPr>
            <w:tcW w:type="dxa" w:w="5076"/>
          </w:tcPr>
          <w:p>
            <w:pPr>
              <w:pStyle w:val="null3"/>
              <w:jc w:val="left"/>
            </w:pPr>
            <w:r>
              <w:rPr/>
              <w:t>投标人为本项目作业服务拟投入的机械或车辆等工具（包括压缩式垃圾车、可卸式垃圾车、扫路车、洒水车）的每投入一种类型车辆得2分，投入三种类型车辆或以上此项得满分。注：以上须提供相关机械或车辆购置时的发票复印件或有效的车辆租赁合同（相关机械或车辆的所有权须为投标人所有或车辆租赁合同期限不得少于项目服务期限），否则不得分。</w:t>
            </w:r>
          </w:p>
        </w:tc>
      </w:tr>
      <w:tr>
        <w:tc>
          <w:tcPr>
            <w:tcW w:type="dxa" w:w="922"/>
            <w:gridSpan w:val="2"/>
            <w:vMerge/>
          </w:tcPr>
          <w:p/>
        </w:tc>
        <w:tc>
          <w:tcPr>
            <w:tcW w:type="dxa" w:w="2307"/>
          </w:tcPr>
          <w:p>
            <w:pPr>
              <w:pStyle w:val="null3"/>
              <w:jc w:val="left"/>
            </w:pPr>
            <w:r>
              <w:rPr/>
              <w:t>拟投入服务团队经验 (10.0分)</w:t>
            </w:r>
          </w:p>
        </w:tc>
        <w:tc>
          <w:tcPr>
            <w:tcW w:type="dxa" w:w="5076"/>
          </w:tcPr>
          <w:p>
            <w:pPr>
              <w:pStyle w:val="null3"/>
              <w:jc w:val="left"/>
            </w:pPr>
            <w:r>
              <w:rPr/>
              <w:t>根据投标人为本项目拟投入的服务团队的服务经验程度进行综合评分: 1、拟投入的服务团队服务经验丰富且成熟的得10分； 2、拟投入的服务团队服务经验不丰富但成熟的得6分； 3、拟投入的服务团队服务经验不丰富也不成熟的得3分；4、拟投入的服务团队没有服务经验的得1分； 5、其他情况不得分。 注:须列明拟投入服务团队的服务经验程度的说明，否则不得分。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445281-2026-00356</w:t>
      </w:r>
    </w:p>
    <w:p>
      <w:pPr>
        <w:pStyle w:val="null3"/>
        <w:jc w:val="center"/>
        <w:outlineLvl w:val="3"/>
      </w:pPr>
      <w:r>
        <w:rPr>
          <w:sz w:val="24"/>
          <w:b/>
        </w:rPr>
        <w:t>采购项目编号：</w:t>
      </w:r>
      <w:r>
        <w:rPr>
          <w:sz w:val="24"/>
          <w:b/>
        </w:rPr>
        <w:t>BSZBDL202601003GD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广东邦晟招标代理有限公司</w:t>
      </w:r>
    </w:p>
    <w:p>
      <w:pPr>
        <w:pStyle w:val="null3"/>
        <w:ind w:firstLine="480"/>
      </w:pPr>
      <w:r>
        <w:rPr/>
        <w:t xml:space="preserve"> 你方组织的</w:t>
      </w:r>
      <w:r>
        <w:rPr>
          <w:u w:val="single"/>
        </w:rPr>
        <w:t>“</w:t>
      </w:r>
      <w:r>
        <w:rPr>
          <w:u w:val="single"/>
        </w:rPr>
        <w:t>2026年军埠镇人居环境整治项目</w:t>
      </w:r>
      <w:r>
        <w:rPr>
          <w:u w:val="single"/>
        </w:rPr>
        <w:t>”</w:t>
      </w:r>
      <w:r>
        <w:rPr/>
        <w:t>项目的招标[采购项目编号为：</w:t>
      </w:r>
      <w:r>
        <w:rPr>
          <w:u w:val="single"/>
        </w:rPr>
        <w:t>BSZBDL202601003GD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2026年军埠镇人居环境整治项目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2026年军埠镇人居环境整治项目</w:t>
      </w:r>
      <w:r>
        <w:rPr/>
        <w:t>”项目采购[采购项目编号为</w:t>
      </w:r>
      <w:r>
        <w:rPr/>
        <w:t>BSZBDL202601003GD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普宁市军埠镇人民政府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广东邦晟招标代理有限公司</w:t>
      </w:r>
    </w:p>
    <w:p>
      <w:pPr>
        <w:pStyle w:val="null3"/>
        <w:ind w:firstLine="480"/>
      </w:pPr>
      <w:r>
        <w:rPr/>
        <w:t xml:space="preserve"> 如果我方在贵采购代理机构组织的</w:t>
      </w:r>
      <w:r>
        <w:rPr/>
        <w:t>2026年军埠镇人居环境整治项目</w:t>
      </w:r>
      <w:r>
        <w:rPr/>
        <w:t>招标中获中标（采购项目编号：</w:t>
      </w:r>
      <w:r>
        <w:rPr/>
        <w:t>BSZBDL202601003GD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广东邦晟招标代理有限公司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2026年军埠镇人居环境整治项目</w:t>
      </w:r>
      <w:r>
        <w:rPr/>
        <w:t>”项目（采购项目编号：</w:t>
      </w:r>
      <w:r>
        <w:rPr/>
        <w:t>BSZBDL202601003GD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